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90" w:type="dxa"/>
        <w:tblInd w:w="-180" w:type="dxa"/>
        <w:tblLayout w:type="fixed"/>
        <w:tblCellMar>
          <w:left w:w="0" w:type="dxa"/>
          <w:right w:w="0" w:type="dxa"/>
        </w:tblCellMar>
        <w:tblLook w:val="01E0" w:firstRow="1" w:lastRow="1" w:firstColumn="1" w:lastColumn="1" w:noHBand="0" w:noVBand="0"/>
      </w:tblPr>
      <w:tblGrid>
        <w:gridCol w:w="8537"/>
        <w:gridCol w:w="1453"/>
      </w:tblGrid>
      <w:tr w:rsidR="0040122E" w:rsidRPr="006858C6" w14:paraId="4068B822" w14:textId="77777777" w:rsidTr="0063662C">
        <w:trPr>
          <w:trHeight w:val="1700"/>
        </w:trPr>
        <w:tc>
          <w:tcPr>
            <w:tcW w:w="8537" w:type="dxa"/>
            <w:tcBorders>
              <w:top w:val="single" w:sz="4" w:space="0" w:color="000000"/>
              <w:bottom w:val="single" w:sz="4" w:space="0" w:color="000000"/>
            </w:tcBorders>
          </w:tcPr>
          <w:p w14:paraId="0F3BFD56" w14:textId="3B5D3FA0" w:rsidR="0040122E" w:rsidRPr="006858C6" w:rsidRDefault="003B6E00" w:rsidP="0063662C">
            <w:pPr>
              <w:widowControl w:val="0"/>
              <w:autoSpaceDE w:val="0"/>
              <w:autoSpaceDN w:val="0"/>
              <w:spacing w:after="0" w:line="360" w:lineRule="auto"/>
              <w:ind w:right="270"/>
              <w:jc w:val="center"/>
              <w:rPr>
                <w:rFonts w:asciiTheme="majorBidi" w:eastAsia="Verdana" w:hAnsiTheme="majorBidi" w:cstheme="majorBidi"/>
                <w:b/>
                <w:bCs/>
                <w:sz w:val="24"/>
                <w:szCs w:val="24"/>
                <w:shd w:val="clear" w:color="auto" w:fill="FFFFFF"/>
              </w:rPr>
            </w:pPr>
            <w:r w:rsidRPr="006858C6">
              <w:rPr>
                <w:rFonts w:asciiTheme="majorBidi" w:eastAsia="Verdana" w:hAnsiTheme="majorBidi" w:cstheme="majorBidi"/>
                <w:noProof/>
              </w:rPr>
              <w:drawing>
                <wp:anchor distT="0" distB="0" distL="114300" distR="114300" simplePos="0" relativeHeight="251660288" behindDoc="1" locked="0" layoutInCell="1" allowOverlap="1" wp14:anchorId="7B836DC1" wp14:editId="6685DC7C">
                  <wp:simplePos x="0" y="0"/>
                  <wp:positionH relativeFrom="column">
                    <wp:posOffset>186055</wp:posOffset>
                  </wp:positionH>
                  <wp:positionV relativeFrom="paragraph">
                    <wp:posOffset>58420</wp:posOffset>
                  </wp:positionV>
                  <wp:extent cx="911860" cy="942975"/>
                  <wp:effectExtent l="0" t="0" r="2540" b="9525"/>
                  <wp:wrapTight wrapText="bothSides">
                    <wp:wrapPolygon edited="0">
                      <wp:start x="0" y="0"/>
                      <wp:lineTo x="0" y="21382"/>
                      <wp:lineTo x="21209" y="21382"/>
                      <wp:lineTo x="212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View Vol. 2 No. 1 (2021)&#10;    "/>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91186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122E" w:rsidRPr="004B2057">
              <w:rPr>
                <w:rFonts w:asciiTheme="majorBidi" w:eastAsia="Verdana" w:hAnsiTheme="majorBidi" w:cstheme="majorBidi"/>
                <w:b/>
                <w:bCs/>
                <w:sz w:val="24"/>
                <w:szCs w:val="24"/>
                <w:shd w:val="clear" w:color="auto" w:fill="FFFFFF"/>
              </w:rPr>
              <w:t xml:space="preserve">Indus Journal of Agriculture and Biology </w:t>
            </w:r>
            <w:r w:rsidR="0040122E" w:rsidRPr="00E4302C">
              <w:rPr>
                <w:rFonts w:asciiTheme="majorBidi" w:eastAsia="Verdana" w:hAnsiTheme="majorBidi" w:cstheme="majorBidi"/>
                <w:b/>
                <w:bCs/>
                <w:sz w:val="24"/>
                <w:szCs w:val="24"/>
                <w:shd w:val="clear" w:color="auto" w:fill="FFFFFF"/>
              </w:rPr>
              <w:t>(</w:t>
            </w:r>
            <w:r w:rsidR="0040122E">
              <w:rPr>
                <w:rFonts w:asciiTheme="majorBidi" w:eastAsia="Verdana" w:hAnsiTheme="majorBidi" w:cstheme="majorBidi"/>
                <w:b/>
                <w:bCs/>
                <w:sz w:val="24"/>
                <w:szCs w:val="24"/>
                <w:shd w:val="clear" w:color="auto" w:fill="FFFFFF"/>
              </w:rPr>
              <w:t>IJAB</w:t>
            </w:r>
            <w:r w:rsidR="0040122E" w:rsidRPr="00E4302C">
              <w:rPr>
                <w:rFonts w:asciiTheme="majorBidi" w:eastAsia="Verdana" w:hAnsiTheme="majorBidi" w:cstheme="majorBidi"/>
                <w:b/>
                <w:bCs/>
                <w:sz w:val="24"/>
                <w:szCs w:val="24"/>
                <w:shd w:val="clear" w:color="auto" w:fill="FFFFFF"/>
              </w:rPr>
              <w:t>)</w:t>
            </w:r>
          </w:p>
          <w:p w14:paraId="0B7280B2" w14:textId="0E084F66" w:rsidR="0040122E" w:rsidRPr="006858C6" w:rsidRDefault="0040122E" w:rsidP="0040122E">
            <w:pPr>
              <w:widowControl w:val="0"/>
              <w:autoSpaceDE w:val="0"/>
              <w:autoSpaceDN w:val="0"/>
              <w:spacing w:before="31" w:after="0" w:line="360" w:lineRule="auto"/>
              <w:ind w:left="122" w:right="452"/>
              <w:jc w:val="center"/>
              <w:rPr>
                <w:rFonts w:asciiTheme="majorBidi" w:eastAsia="Verdana" w:hAnsiTheme="majorBidi" w:cstheme="majorBidi"/>
                <w:b/>
                <w:color w:val="385522"/>
                <w:sz w:val="20"/>
              </w:rPr>
            </w:pPr>
            <w:r w:rsidRPr="006858C6">
              <w:rPr>
                <w:rFonts w:asciiTheme="majorBidi" w:eastAsia="Verdana" w:hAnsiTheme="majorBidi" w:cstheme="majorBidi"/>
                <w:b/>
                <w:color w:val="385522"/>
                <w:sz w:val="20"/>
              </w:rPr>
              <w:t xml:space="preserve">Volume </w:t>
            </w:r>
            <w:r w:rsidR="00A435D2">
              <w:rPr>
                <w:rFonts w:asciiTheme="majorBidi" w:eastAsia="Verdana" w:hAnsiTheme="majorBidi" w:cstheme="majorBidi"/>
                <w:b/>
                <w:color w:val="385522"/>
                <w:sz w:val="20"/>
              </w:rPr>
              <w:t>4</w:t>
            </w:r>
            <w:r w:rsidRPr="006858C6">
              <w:rPr>
                <w:rFonts w:asciiTheme="majorBidi" w:eastAsia="Verdana" w:hAnsiTheme="majorBidi" w:cstheme="majorBidi"/>
                <w:b/>
                <w:color w:val="385522"/>
                <w:sz w:val="20"/>
              </w:rPr>
              <w:t xml:space="preserve">, Number </w:t>
            </w:r>
            <w:r w:rsidR="00A435D2">
              <w:rPr>
                <w:rFonts w:asciiTheme="majorBidi" w:eastAsia="Verdana" w:hAnsiTheme="majorBidi" w:cstheme="majorBidi"/>
                <w:b/>
                <w:color w:val="385522"/>
                <w:sz w:val="20"/>
              </w:rPr>
              <w:t>1</w:t>
            </w:r>
            <w:r w:rsidRPr="006858C6">
              <w:rPr>
                <w:rFonts w:asciiTheme="majorBidi" w:eastAsia="Verdana" w:hAnsiTheme="majorBidi" w:cstheme="majorBidi"/>
                <w:b/>
                <w:color w:val="385522"/>
                <w:sz w:val="20"/>
              </w:rPr>
              <w:t>, 202</w:t>
            </w:r>
            <w:r w:rsidR="00A435D2">
              <w:rPr>
                <w:rFonts w:asciiTheme="majorBidi" w:eastAsia="Verdana" w:hAnsiTheme="majorBidi" w:cstheme="majorBidi"/>
                <w:b/>
                <w:color w:val="385522"/>
                <w:sz w:val="20"/>
              </w:rPr>
              <w:t>5</w:t>
            </w:r>
            <w:r w:rsidRPr="006858C6">
              <w:rPr>
                <w:rFonts w:asciiTheme="majorBidi" w:eastAsia="Verdana" w:hAnsiTheme="majorBidi" w:cstheme="majorBidi"/>
                <w:b/>
                <w:color w:val="385522"/>
                <w:sz w:val="20"/>
              </w:rPr>
              <w:t xml:space="preserve">, Pages </w:t>
            </w:r>
            <w:r w:rsidR="00FE60F0">
              <w:rPr>
                <w:rFonts w:asciiTheme="majorBidi" w:eastAsia="Verdana" w:hAnsiTheme="majorBidi" w:cstheme="majorBidi"/>
                <w:b/>
                <w:color w:val="385522"/>
                <w:sz w:val="20"/>
              </w:rPr>
              <w:t>01</w:t>
            </w:r>
            <w:r w:rsidRPr="006858C6">
              <w:rPr>
                <w:rFonts w:asciiTheme="majorBidi" w:eastAsia="Verdana" w:hAnsiTheme="majorBidi" w:cstheme="majorBidi"/>
                <w:b/>
                <w:color w:val="385522"/>
                <w:sz w:val="20"/>
              </w:rPr>
              <w:t xml:space="preserve"> – </w:t>
            </w:r>
            <w:r w:rsidR="00FE60F0">
              <w:rPr>
                <w:rFonts w:asciiTheme="majorBidi" w:eastAsia="Verdana" w:hAnsiTheme="majorBidi" w:cstheme="majorBidi"/>
                <w:b/>
                <w:color w:val="385522"/>
                <w:sz w:val="20"/>
              </w:rPr>
              <w:t>06</w:t>
            </w:r>
          </w:p>
          <w:p w14:paraId="42BFE5D6" w14:textId="12C75B28" w:rsidR="0040122E" w:rsidRPr="006858C6" w:rsidRDefault="0040122E" w:rsidP="0063662C">
            <w:pPr>
              <w:widowControl w:val="0"/>
              <w:autoSpaceDE w:val="0"/>
              <w:autoSpaceDN w:val="0"/>
              <w:spacing w:before="31" w:after="0" w:line="360" w:lineRule="auto"/>
              <w:ind w:left="122" w:right="452"/>
              <w:jc w:val="center"/>
              <w:rPr>
                <w:rFonts w:asciiTheme="majorBidi" w:eastAsia="Verdana" w:hAnsiTheme="majorBidi" w:cstheme="majorBidi"/>
                <w:b/>
                <w:bCs/>
                <w:color w:val="0070C0"/>
              </w:rPr>
            </w:pPr>
            <w:r w:rsidRPr="006858C6">
              <w:rPr>
                <w:rFonts w:asciiTheme="majorBidi" w:eastAsia="Verdana" w:hAnsiTheme="majorBidi" w:cstheme="majorBidi"/>
                <w:b/>
                <w:color w:val="385522"/>
                <w:sz w:val="24"/>
                <w:szCs w:val="24"/>
              </w:rPr>
              <w:t>Journal Home Page</w:t>
            </w:r>
          </w:p>
          <w:p w14:paraId="56E10CEC" w14:textId="56FCBC24" w:rsidR="0040122E" w:rsidRPr="00C736CB" w:rsidRDefault="003B6E00" w:rsidP="0063662C">
            <w:pPr>
              <w:widowControl w:val="0"/>
              <w:autoSpaceDE w:val="0"/>
              <w:autoSpaceDN w:val="0"/>
              <w:spacing w:before="31" w:after="0" w:line="360" w:lineRule="auto"/>
              <w:ind w:left="122" w:right="452"/>
              <w:jc w:val="center"/>
              <w:rPr>
                <w:rFonts w:asciiTheme="majorBidi" w:eastAsia="Verdana" w:hAnsiTheme="majorBidi" w:cstheme="majorBidi"/>
                <w:b/>
                <w:sz w:val="28"/>
                <w:szCs w:val="28"/>
                <w:u w:val="single"/>
              </w:rPr>
            </w:pPr>
            <w:r w:rsidRPr="003B6E00">
              <w:rPr>
                <w:rFonts w:asciiTheme="majorBidi" w:eastAsia="Verdana" w:hAnsiTheme="majorBidi" w:cstheme="majorBidi"/>
                <w:b/>
                <w:bCs/>
                <w:color w:val="0070C0"/>
                <w:sz w:val="24"/>
                <w:szCs w:val="24"/>
                <w:u w:val="single"/>
              </w:rPr>
              <w:t>https://ijab.pk/index.php/Journal</w:t>
            </w:r>
          </w:p>
        </w:tc>
        <w:tc>
          <w:tcPr>
            <w:tcW w:w="1453" w:type="dxa"/>
            <w:tcBorders>
              <w:top w:val="single" w:sz="4" w:space="0" w:color="000000"/>
              <w:bottom w:val="single" w:sz="4" w:space="0" w:color="000000"/>
            </w:tcBorders>
          </w:tcPr>
          <w:p w14:paraId="12B98CD5" w14:textId="417EDFD2" w:rsidR="0040122E" w:rsidRPr="006858C6" w:rsidRDefault="0040122E" w:rsidP="0063662C">
            <w:pPr>
              <w:widowControl w:val="0"/>
              <w:autoSpaceDE w:val="0"/>
              <w:autoSpaceDN w:val="0"/>
              <w:spacing w:before="3" w:after="0" w:line="240" w:lineRule="auto"/>
              <w:rPr>
                <w:rFonts w:asciiTheme="majorBidi" w:eastAsia="Verdana" w:hAnsiTheme="majorBidi" w:cstheme="majorBidi"/>
                <w:sz w:val="2"/>
              </w:rPr>
            </w:pPr>
          </w:p>
          <w:p w14:paraId="735C8BB6" w14:textId="4295854D" w:rsidR="0040122E" w:rsidRPr="006858C6" w:rsidRDefault="0040122E" w:rsidP="0063662C">
            <w:pPr>
              <w:widowControl w:val="0"/>
              <w:autoSpaceDE w:val="0"/>
              <w:autoSpaceDN w:val="0"/>
              <w:spacing w:after="0" w:line="240" w:lineRule="auto"/>
              <w:ind w:right="-58"/>
              <w:jc w:val="right"/>
              <w:rPr>
                <w:rFonts w:asciiTheme="majorBidi" w:eastAsia="Verdana" w:hAnsiTheme="majorBidi" w:cstheme="majorBidi"/>
                <w:sz w:val="20"/>
              </w:rPr>
            </w:pPr>
          </w:p>
        </w:tc>
      </w:tr>
    </w:tbl>
    <w:p w14:paraId="0C6CC34D" w14:textId="77777777" w:rsidR="0040122E" w:rsidRDefault="0040122E" w:rsidP="0040122E">
      <w:pPr>
        <w:spacing w:before="240" w:line="240" w:lineRule="auto"/>
        <w:contextualSpacing/>
        <w:jc w:val="both"/>
        <w:rPr>
          <w:rFonts w:ascii="Times New Roman" w:eastAsia="Times New Roman" w:hAnsi="Times New Roman" w:cs="Times New Roman"/>
          <w:b/>
          <w:sz w:val="28"/>
          <w:szCs w:val="28"/>
        </w:rPr>
      </w:pPr>
    </w:p>
    <w:p w14:paraId="438D175F" w14:textId="77777777" w:rsidR="0040122E" w:rsidRDefault="0040122E" w:rsidP="0040122E">
      <w:pPr>
        <w:widowControl w:val="0"/>
        <w:autoSpaceDE w:val="0"/>
        <w:autoSpaceDN w:val="0"/>
        <w:spacing w:before="1" w:after="0" w:line="240" w:lineRule="auto"/>
        <w:jc w:val="center"/>
        <w:rPr>
          <w:rFonts w:ascii="Times New Roman" w:eastAsia="Times New Roman" w:hAnsi="Times New Roman" w:cs="Times New Roman"/>
          <w:b/>
          <w:sz w:val="28"/>
          <w:szCs w:val="28"/>
        </w:rPr>
      </w:pPr>
      <w:r w:rsidRPr="005E2D2C">
        <w:rPr>
          <w:rFonts w:ascii="Times New Roman" w:eastAsia="Times New Roman" w:hAnsi="Times New Roman" w:cs="Times New Roman"/>
          <w:b/>
          <w:sz w:val="28"/>
          <w:szCs w:val="28"/>
        </w:rPr>
        <w:t>The Role of Nitrogen Fertilization in Improving Wheat Crop Yields</w:t>
      </w:r>
    </w:p>
    <w:p w14:paraId="16C66C69" w14:textId="77777777" w:rsidR="0040122E" w:rsidRDefault="0040122E" w:rsidP="0040122E">
      <w:pPr>
        <w:widowControl w:val="0"/>
        <w:autoSpaceDE w:val="0"/>
        <w:autoSpaceDN w:val="0"/>
        <w:spacing w:before="1" w:after="0" w:line="240" w:lineRule="auto"/>
        <w:rPr>
          <w:rFonts w:ascii="Times New Roman" w:eastAsia="Times New Roman" w:hAnsi="Times New Roman" w:cs="Times New Roman"/>
          <w:b/>
          <w:sz w:val="28"/>
          <w:szCs w:val="28"/>
        </w:rPr>
      </w:pPr>
    </w:p>
    <w:p w14:paraId="7730F4BE" w14:textId="0915196E" w:rsidR="00271530" w:rsidRDefault="00271530" w:rsidP="00271530">
      <w:pPr>
        <w:pStyle w:val="BodyText"/>
        <w:jc w:val="center"/>
        <w:rPr>
          <w:b/>
          <w:sz w:val="20"/>
        </w:rPr>
      </w:pPr>
      <w:r>
        <w:rPr>
          <w:b/>
          <w:bCs/>
          <w:lang w:eastAsia="en-GB"/>
        </w:rPr>
        <w:t>Muneeba</w:t>
      </w:r>
      <w:r w:rsidRPr="00A135D0">
        <w:rPr>
          <w:b/>
          <w:bCs/>
          <w:vertAlign w:val="superscript"/>
          <w:lang w:eastAsia="en-GB"/>
        </w:rPr>
        <w:t>1</w:t>
      </w:r>
      <w:r w:rsidRPr="00A135D0">
        <w:rPr>
          <w:b/>
          <w:bCs/>
          <w:lang w:eastAsia="en-GB"/>
        </w:rPr>
        <w:t xml:space="preserve">, </w:t>
      </w:r>
      <w:proofErr w:type="spellStart"/>
      <w:r w:rsidRPr="00A135D0">
        <w:rPr>
          <w:b/>
          <w:bCs/>
          <w:lang w:eastAsia="en-GB"/>
        </w:rPr>
        <w:t>Faran</w:t>
      </w:r>
      <w:proofErr w:type="spellEnd"/>
      <w:r w:rsidRPr="00A135D0">
        <w:rPr>
          <w:b/>
          <w:bCs/>
          <w:lang w:eastAsia="en-GB"/>
        </w:rPr>
        <w:t xml:space="preserve"> Muhammad</w:t>
      </w:r>
      <w:r>
        <w:rPr>
          <w:b/>
          <w:bCs/>
          <w:vertAlign w:val="superscript"/>
          <w:lang w:eastAsia="en-GB"/>
        </w:rPr>
        <w:t>1*</w:t>
      </w:r>
      <w:r w:rsidRPr="00A135D0">
        <w:rPr>
          <w:b/>
          <w:bCs/>
          <w:lang w:eastAsia="en-GB"/>
        </w:rPr>
        <w:t>, Muhammad Shafique</w:t>
      </w:r>
      <w:r w:rsidR="00E82ED8">
        <w:rPr>
          <w:b/>
          <w:bCs/>
          <w:vertAlign w:val="superscript"/>
          <w:lang w:eastAsia="en-GB"/>
        </w:rPr>
        <w:t>2</w:t>
      </w:r>
      <w:r w:rsidR="008F188E">
        <w:rPr>
          <w:b/>
          <w:bCs/>
          <w:lang w:eastAsia="en-GB"/>
        </w:rPr>
        <w:t>, Muhammad Bilal</w:t>
      </w:r>
      <w:r w:rsidR="00E82ED8">
        <w:rPr>
          <w:b/>
          <w:bCs/>
          <w:vertAlign w:val="superscript"/>
          <w:lang w:eastAsia="en-GB"/>
        </w:rPr>
        <w:t>3</w:t>
      </w:r>
      <w:r w:rsidRPr="00A135D0">
        <w:rPr>
          <w:b/>
          <w:bCs/>
          <w:lang w:eastAsia="en-GB"/>
        </w:rPr>
        <w:t xml:space="preserve"> </w:t>
      </w:r>
    </w:p>
    <w:p w14:paraId="2C2A03AD" w14:textId="77777777" w:rsidR="00271530" w:rsidRDefault="00271530" w:rsidP="00271530">
      <w:pPr>
        <w:contextualSpacing/>
        <w:rPr>
          <w:i/>
          <w:iCs/>
          <w:sz w:val="20"/>
          <w:szCs w:val="20"/>
          <w:vertAlign w:val="superscript"/>
          <w:lang w:eastAsia="en-GB"/>
        </w:rPr>
      </w:pPr>
    </w:p>
    <w:p w14:paraId="62DBD7FE" w14:textId="77777777" w:rsidR="00271530" w:rsidRPr="009139FC" w:rsidRDefault="00271530" w:rsidP="00271530">
      <w:pPr>
        <w:spacing w:after="0" w:line="240" w:lineRule="auto"/>
        <w:contextualSpacing/>
        <w:rPr>
          <w:rFonts w:ascii="Times New Roman" w:hAnsi="Times New Roman" w:cs="Times New Roman"/>
          <w:i/>
          <w:iCs/>
          <w:sz w:val="20"/>
          <w:szCs w:val="20"/>
          <w:lang w:eastAsia="en-GB"/>
        </w:rPr>
      </w:pPr>
      <w:r>
        <w:rPr>
          <w:i/>
          <w:iCs/>
          <w:sz w:val="20"/>
          <w:szCs w:val="20"/>
          <w:vertAlign w:val="superscript"/>
          <w:lang w:eastAsia="en-GB"/>
        </w:rPr>
        <w:t>1</w:t>
      </w:r>
      <w:r w:rsidRPr="009139FC">
        <w:rPr>
          <w:rFonts w:ascii="Times New Roman" w:hAnsi="Times New Roman" w:cs="Times New Roman"/>
          <w:i/>
          <w:iCs/>
          <w:sz w:val="20"/>
          <w:szCs w:val="20"/>
          <w:lang w:eastAsia="en-GB"/>
        </w:rPr>
        <w:t>Department of Agronomy, University of Agriculture Faisalabad</w:t>
      </w:r>
    </w:p>
    <w:p w14:paraId="60891C5F" w14:textId="18E11FB4" w:rsidR="00271530" w:rsidRDefault="00E82ED8" w:rsidP="00271530">
      <w:pPr>
        <w:pStyle w:val="BodyText"/>
        <w:rPr>
          <w:i/>
          <w:iCs/>
          <w:sz w:val="20"/>
          <w:szCs w:val="20"/>
          <w:lang w:eastAsia="en-GB"/>
        </w:rPr>
      </w:pPr>
      <w:r>
        <w:rPr>
          <w:i/>
          <w:iCs/>
          <w:sz w:val="20"/>
          <w:szCs w:val="20"/>
          <w:vertAlign w:val="superscript"/>
          <w:lang w:eastAsia="en-GB"/>
        </w:rPr>
        <w:t>2</w:t>
      </w:r>
      <w:r w:rsidR="00271530" w:rsidRPr="009139FC">
        <w:rPr>
          <w:i/>
          <w:iCs/>
          <w:sz w:val="20"/>
          <w:szCs w:val="20"/>
          <w:lang w:eastAsia="en-GB"/>
        </w:rPr>
        <w:t xml:space="preserve">Sugarcane Research institute, </w:t>
      </w:r>
      <w:proofErr w:type="spellStart"/>
      <w:r w:rsidR="00271530" w:rsidRPr="009139FC">
        <w:rPr>
          <w:i/>
          <w:iCs/>
          <w:sz w:val="20"/>
          <w:szCs w:val="20"/>
          <w:lang w:eastAsia="en-GB"/>
        </w:rPr>
        <w:t>Ayub</w:t>
      </w:r>
      <w:proofErr w:type="spellEnd"/>
      <w:r w:rsidR="00271530" w:rsidRPr="009139FC">
        <w:rPr>
          <w:i/>
          <w:iCs/>
          <w:sz w:val="20"/>
          <w:szCs w:val="20"/>
          <w:lang w:eastAsia="en-GB"/>
        </w:rPr>
        <w:t xml:space="preserve"> Research Faisalabad</w:t>
      </w:r>
    </w:p>
    <w:p w14:paraId="66AACDDB" w14:textId="396ACD55" w:rsidR="00C44B45" w:rsidRDefault="00E82ED8" w:rsidP="00271530">
      <w:pPr>
        <w:pStyle w:val="BodyText"/>
        <w:rPr>
          <w:b/>
          <w:sz w:val="20"/>
        </w:rPr>
      </w:pPr>
      <w:r>
        <w:rPr>
          <w:i/>
          <w:iCs/>
          <w:sz w:val="20"/>
          <w:szCs w:val="20"/>
          <w:vertAlign w:val="superscript"/>
          <w:lang w:eastAsia="en-GB"/>
        </w:rPr>
        <w:t>3</w:t>
      </w:r>
      <w:r w:rsidR="00C44B45" w:rsidRPr="009139FC">
        <w:rPr>
          <w:i/>
          <w:iCs/>
          <w:sz w:val="20"/>
          <w:szCs w:val="20"/>
          <w:lang w:eastAsia="en-GB"/>
        </w:rPr>
        <w:t xml:space="preserve">Department of </w:t>
      </w:r>
      <w:r w:rsidR="00C44B45">
        <w:rPr>
          <w:i/>
          <w:iCs/>
          <w:sz w:val="20"/>
          <w:szCs w:val="20"/>
          <w:lang w:eastAsia="en-GB"/>
        </w:rPr>
        <w:t>Entomology</w:t>
      </w:r>
      <w:r w:rsidR="00C44B45" w:rsidRPr="009139FC">
        <w:rPr>
          <w:i/>
          <w:iCs/>
          <w:sz w:val="20"/>
          <w:szCs w:val="20"/>
          <w:lang w:eastAsia="en-GB"/>
        </w:rPr>
        <w:t xml:space="preserve">, faculty of agriculture, </w:t>
      </w:r>
      <w:proofErr w:type="spellStart"/>
      <w:r w:rsidR="00C44B45" w:rsidRPr="009139FC">
        <w:rPr>
          <w:i/>
          <w:iCs/>
          <w:sz w:val="20"/>
          <w:szCs w:val="20"/>
          <w:lang w:eastAsia="en-GB"/>
        </w:rPr>
        <w:t>Gomal</w:t>
      </w:r>
      <w:proofErr w:type="spellEnd"/>
      <w:r w:rsidR="00C44B45" w:rsidRPr="009139FC">
        <w:rPr>
          <w:i/>
          <w:iCs/>
          <w:sz w:val="20"/>
          <w:szCs w:val="20"/>
          <w:lang w:eastAsia="en-GB"/>
        </w:rPr>
        <w:t xml:space="preserve"> university </w:t>
      </w:r>
      <w:proofErr w:type="spellStart"/>
      <w:r w:rsidR="00C44B45" w:rsidRPr="009139FC">
        <w:rPr>
          <w:i/>
          <w:iCs/>
          <w:sz w:val="20"/>
          <w:szCs w:val="20"/>
          <w:lang w:eastAsia="en-GB"/>
        </w:rPr>
        <w:t>Dera</w:t>
      </w:r>
      <w:proofErr w:type="spellEnd"/>
      <w:r w:rsidR="00C44B45" w:rsidRPr="009139FC">
        <w:rPr>
          <w:i/>
          <w:iCs/>
          <w:sz w:val="20"/>
          <w:szCs w:val="20"/>
          <w:lang w:eastAsia="en-GB"/>
        </w:rPr>
        <w:t xml:space="preserve"> Ismail Khan</w:t>
      </w:r>
    </w:p>
    <w:p w14:paraId="1F51B1C2" w14:textId="77777777" w:rsidR="0040122E" w:rsidRDefault="0040122E" w:rsidP="0040122E">
      <w:pPr>
        <w:widowControl w:val="0"/>
        <w:autoSpaceDE w:val="0"/>
        <w:autoSpaceDN w:val="0"/>
        <w:spacing w:before="1" w:after="0" w:line="240" w:lineRule="auto"/>
        <w:rPr>
          <w:rFonts w:asciiTheme="majorBidi" w:eastAsia="Verdana" w:hAnsiTheme="majorBidi" w:cstheme="majorBidi"/>
          <w:sz w:val="8"/>
        </w:rPr>
      </w:pPr>
    </w:p>
    <w:p w14:paraId="1C1D14FA" w14:textId="77777777" w:rsidR="0040122E" w:rsidRPr="006858C6" w:rsidRDefault="0040122E" w:rsidP="0040122E">
      <w:pPr>
        <w:widowControl w:val="0"/>
        <w:autoSpaceDE w:val="0"/>
        <w:autoSpaceDN w:val="0"/>
        <w:spacing w:before="1" w:after="0" w:line="240" w:lineRule="auto"/>
        <w:rPr>
          <w:rFonts w:asciiTheme="majorBidi" w:eastAsia="Verdana" w:hAnsiTheme="majorBidi" w:cstheme="majorBidi"/>
          <w:sz w:val="8"/>
        </w:rPr>
      </w:pPr>
    </w:p>
    <w:tbl>
      <w:tblPr>
        <w:tblW w:w="9630" w:type="dxa"/>
        <w:jc w:val="center"/>
        <w:tblLayout w:type="fixed"/>
        <w:tblCellMar>
          <w:left w:w="0" w:type="dxa"/>
          <w:right w:w="0" w:type="dxa"/>
        </w:tblCellMar>
        <w:tblLook w:val="01E0" w:firstRow="1" w:lastRow="1" w:firstColumn="1" w:lastColumn="1" w:noHBand="0" w:noVBand="0"/>
      </w:tblPr>
      <w:tblGrid>
        <w:gridCol w:w="3690"/>
        <w:gridCol w:w="5940"/>
      </w:tblGrid>
      <w:tr w:rsidR="0040122E" w:rsidRPr="006858C6" w14:paraId="01B5AFD8" w14:textId="77777777" w:rsidTr="0063662C">
        <w:trPr>
          <w:trHeight w:val="301"/>
          <w:jc w:val="center"/>
        </w:trPr>
        <w:tc>
          <w:tcPr>
            <w:tcW w:w="3690" w:type="dxa"/>
            <w:tcBorders>
              <w:top w:val="single" w:sz="8" w:space="0" w:color="000000"/>
              <w:bottom w:val="single" w:sz="8" w:space="0" w:color="000000"/>
            </w:tcBorders>
          </w:tcPr>
          <w:p w14:paraId="22BA88D3" w14:textId="77777777" w:rsidR="0040122E" w:rsidRPr="006858C6" w:rsidRDefault="0040122E" w:rsidP="0063662C">
            <w:pPr>
              <w:widowControl w:val="0"/>
              <w:autoSpaceDE w:val="0"/>
              <w:autoSpaceDN w:val="0"/>
              <w:spacing w:before="120" w:after="0" w:line="240" w:lineRule="auto"/>
              <w:ind w:left="122"/>
              <w:rPr>
                <w:rFonts w:asciiTheme="majorBidi" w:eastAsia="Verdana" w:hAnsiTheme="majorBidi" w:cstheme="majorBidi"/>
                <w:b/>
                <w:sz w:val="20"/>
              </w:rPr>
            </w:pPr>
            <w:r w:rsidRPr="006858C6">
              <w:rPr>
                <w:rFonts w:asciiTheme="majorBidi" w:eastAsia="Verdana" w:hAnsiTheme="majorBidi" w:cstheme="majorBidi"/>
                <w:b/>
                <w:sz w:val="18"/>
              </w:rPr>
              <w:t>ARTICLE INFO</w:t>
            </w:r>
          </w:p>
        </w:tc>
        <w:tc>
          <w:tcPr>
            <w:tcW w:w="5940" w:type="dxa"/>
            <w:tcBorders>
              <w:top w:val="single" w:sz="8" w:space="0" w:color="000000"/>
              <w:bottom w:val="single" w:sz="8" w:space="0" w:color="000000"/>
            </w:tcBorders>
          </w:tcPr>
          <w:p w14:paraId="691FBD7F" w14:textId="77777777" w:rsidR="0040122E" w:rsidRPr="006858C6" w:rsidRDefault="0040122E" w:rsidP="0063662C">
            <w:pPr>
              <w:widowControl w:val="0"/>
              <w:autoSpaceDE w:val="0"/>
              <w:autoSpaceDN w:val="0"/>
              <w:spacing w:before="120" w:after="0" w:line="240" w:lineRule="auto"/>
              <w:ind w:left="53"/>
              <w:jc w:val="both"/>
              <w:rPr>
                <w:rFonts w:asciiTheme="majorBidi" w:eastAsia="Verdana" w:hAnsiTheme="majorBidi" w:cstheme="majorBidi"/>
                <w:b/>
                <w:sz w:val="20"/>
              </w:rPr>
            </w:pPr>
            <w:r w:rsidRPr="006858C6">
              <w:rPr>
                <w:rFonts w:asciiTheme="majorBidi" w:eastAsia="Verdana" w:hAnsiTheme="majorBidi" w:cstheme="majorBidi"/>
                <w:b/>
                <w:sz w:val="24"/>
                <w:szCs w:val="24"/>
              </w:rPr>
              <w:t>ABSTRACT</w:t>
            </w:r>
          </w:p>
        </w:tc>
      </w:tr>
      <w:tr w:rsidR="0040122E" w:rsidRPr="006858C6" w14:paraId="5B6859E5" w14:textId="77777777" w:rsidTr="0063662C">
        <w:trPr>
          <w:trHeight w:val="1248"/>
          <w:jc w:val="center"/>
        </w:trPr>
        <w:tc>
          <w:tcPr>
            <w:tcW w:w="3690" w:type="dxa"/>
            <w:tcBorders>
              <w:top w:val="single" w:sz="8" w:space="0" w:color="000000"/>
            </w:tcBorders>
          </w:tcPr>
          <w:p w14:paraId="3227AADD" w14:textId="77777777" w:rsidR="0040122E" w:rsidRPr="006858C6" w:rsidRDefault="0040122E" w:rsidP="0063662C">
            <w:pPr>
              <w:widowControl w:val="0"/>
              <w:autoSpaceDE w:val="0"/>
              <w:autoSpaceDN w:val="0"/>
              <w:spacing w:before="1" w:after="0" w:line="219" w:lineRule="exact"/>
              <w:ind w:left="122"/>
              <w:rPr>
                <w:rFonts w:asciiTheme="majorBidi" w:eastAsia="Verdana" w:hAnsiTheme="majorBidi" w:cstheme="majorBidi"/>
                <w:b/>
                <w:i/>
                <w:sz w:val="18"/>
              </w:rPr>
            </w:pPr>
            <w:r w:rsidRPr="006858C6">
              <w:rPr>
                <w:rFonts w:asciiTheme="majorBidi" w:eastAsia="Verdana" w:hAnsiTheme="majorBidi" w:cstheme="majorBidi"/>
                <w:b/>
                <w:i/>
                <w:sz w:val="18"/>
              </w:rPr>
              <w:t>Article History:</w:t>
            </w:r>
          </w:p>
          <w:p w14:paraId="36D2BF5F" w14:textId="77777777" w:rsidR="0040122E" w:rsidRPr="006858C6" w:rsidRDefault="0040122E" w:rsidP="0063662C">
            <w:pPr>
              <w:widowControl w:val="0"/>
              <w:autoSpaceDE w:val="0"/>
              <w:autoSpaceDN w:val="0"/>
              <w:spacing w:before="1" w:after="0" w:line="219" w:lineRule="exact"/>
              <w:ind w:left="122"/>
              <w:rPr>
                <w:rFonts w:asciiTheme="majorBidi" w:eastAsia="Verdana" w:hAnsiTheme="majorBidi" w:cstheme="majorBidi"/>
                <w:b/>
                <w:i/>
                <w:sz w:val="18"/>
              </w:rPr>
            </w:pPr>
          </w:p>
          <w:p w14:paraId="4E047D3F" w14:textId="31FA582F" w:rsidR="0040122E" w:rsidRPr="00A3799C" w:rsidRDefault="0040122E" w:rsidP="0040122E">
            <w:pPr>
              <w:widowControl w:val="0"/>
              <w:tabs>
                <w:tab w:val="left" w:pos="1706"/>
                <w:tab w:val="left" w:pos="2734"/>
              </w:tabs>
              <w:autoSpaceDE w:val="0"/>
              <w:autoSpaceDN w:val="0"/>
              <w:spacing w:after="0" w:line="360" w:lineRule="auto"/>
              <w:ind w:left="122"/>
              <w:rPr>
                <w:rFonts w:ascii="Times New Roman" w:eastAsia="Verdana" w:hAnsi="Times New Roman" w:cs="Times New Roman"/>
                <w:sz w:val="18"/>
              </w:rPr>
            </w:pPr>
            <w:r>
              <w:rPr>
                <w:rFonts w:ascii="Times New Roman" w:eastAsia="Verdana" w:hAnsi="Times New Roman" w:cs="Times New Roman"/>
                <w:sz w:val="18"/>
              </w:rPr>
              <w:t>Received:</w:t>
            </w:r>
            <w:r>
              <w:rPr>
                <w:rFonts w:ascii="Times New Roman" w:eastAsia="Verdana" w:hAnsi="Times New Roman" w:cs="Times New Roman"/>
                <w:sz w:val="18"/>
              </w:rPr>
              <w:tab/>
              <w:t xml:space="preserve">   April          </w:t>
            </w:r>
            <w:r w:rsidR="002548C2">
              <w:rPr>
                <w:rFonts w:ascii="Times New Roman" w:eastAsia="Verdana" w:hAnsi="Times New Roman" w:cs="Times New Roman"/>
                <w:sz w:val="18"/>
              </w:rPr>
              <w:t xml:space="preserve"> </w:t>
            </w:r>
            <w:r>
              <w:rPr>
                <w:rFonts w:ascii="Times New Roman" w:eastAsia="Verdana" w:hAnsi="Times New Roman" w:cs="Times New Roman"/>
                <w:sz w:val="18"/>
              </w:rPr>
              <w:t xml:space="preserve">   </w:t>
            </w:r>
            <w:r w:rsidRPr="00A3799C">
              <w:rPr>
                <w:rFonts w:ascii="Times New Roman" w:eastAsia="Verdana" w:hAnsi="Times New Roman" w:cs="Times New Roman"/>
                <w:sz w:val="18"/>
              </w:rPr>
              <w:t xml:space="preserve">   </w:t>
            </w:r>
            <w:r w:rsidR="00EE55B9">
              <w:rPr>
                <w:rFonts w:ascii="Times New Roman" w:eastAsia="Verdana" w:hAnsi="Times New Roman" w:cs="Times New Roman"/>
                <w:sz w:val="18"/>
              </w:rPr>
              <w:t>12</w:t>
            </w:r>
            <w:r w:rsidRPr="00A3799C">
              <w:rPr>
                <w:rFonts w:ascii="Times New Roman" w:eastAsia="Verdana" w:hAnsi="Times New Roman" w:cs="Times New Roman"/>
                <w:sz w:val="18"/>
              </w:rPr>
              <w:t>, 202</w:t>
            </w:r>
            <w:r w:rsidR="00A435D2">
              <w:rPr>
                <w:rFonts w:ascii="Times New Roman" w:eastAsia="Verdana" w:hAnsi="Times New Roman" w:cs="Times New Roman"/>
                <w:sz w:val="18"/>
              </w:rPr>
              <w:t>5</w:t>
            </w:r>
          </w:p>
          <w:p w14:paraId="1D45BCA5" w14:textId="1DF6CC9D" w:rsidR="0040122E" w:rsidRPr="00A3799C" w:rsidRDefault="0040122E" w:rsidP="0063662C">
            <w:pPr>
              <w:widowControl w:val="0"/>
              <w:tabs>
                <w:tab w:val="left" w:pos="1725"/>
              </w:tabs>
              <w:autoSpaceDE w:val="0"/>
              <w:autoSpaceDN w:val="0"/>
              <w:spacing w:after="0" w:line="360" w:lineRule="auto"/>
              <w:ind w:left="122"/>
              <w:rPr>
                <w:rFonts w:ascii="Times New Roman" w:eastAsia="Verdana" w:hAnsi="Times New Roman" w:cs="Times New Roman"/>
                <w:sz w:val="18"/>
              </w:rPr>
            </w:pPr>
            <w:r>
              <w:rPr>
                <w:rFonts w:ascii="Times New Roman" w:eastAsia="Verdana" w:hAnsi="Times New Roman" w:cs="Times New Roman"/>
                <w:sz w:val="18"/>
              </w:rPr>
              <w:t>Revised:</w:t>
            </w:r>
            <w:r>
              <w:rPr>
                <w:rFonts w:ascii="Times New Roman" w:eastAsia="Verdana" w:hAnsi="Times New Roman" w:cs="Times New Roman"/>
                <w:sz w:val="18"/>
              </w:rPr>
              <w:tab/>
              <w:t xml:space="preserve">   May        </w:t>
            </w:r>
            <w:r w:rsidRPr="00A3799C">
              <w:rPr>
                <w:rFonts w:ascii="Times New Roman" w:eastAsia="Verdana" w:hAnsi="Times New Roman" w:cs="Times New Roman"/>
                <w:sz w:val="18"/>
              </w:rPr>
              <w:t xml:space="preserve">   </w:t>
            </w:r>
            <w:r>
              <w:rPr>
                <w:rFonts w:ascii="Times New Roman" w:eastAsia="Verdana" w:hAnsi="Times New Roman" w:cs="Times New Roman"/>
                <w:sz w:val="18"/>
              </w:rPr>
              <w:t xml:space="preserve">        </w:t>
            </w:r>
            <w:r w:rsidR="00EE55B9">
              <w:rPr>
                <w:rFonts w:ascii="Times New Roman" w:eastAsia="Verdana" w:hAnsi="Times New Roman" w:cs="Times New Roman"/>
                <w:sz w:val="18"/>
              </w:rPr>
              <w:t>06</w:t>
            </w:r>
            <w:r w:rsidRPr="00A3799C">
              <w:rPr>
                <w:rFonts w:ascii="Times New Roman" w:eastAsia="Verdana" w:hAnsi="Times New Roman" w:cs="Times New Roman"/>
                <w:sz w:val="18"/>
              </w:rPr>
              <w:t>,202</w:t>
            </w:r>
            <w:r w:rsidR="00A435D2">
              <w:rPr>
                <w:rFonts w:ascii="Times New Roman" w:eastAsia="Verdana" w:hAnsi="Times New Roman" w:cs="Times New Roman"/>
                <w:sz w:val="18"/>
              </w:rPr>
              <w:t>5</w:t>
            </w:r>
          </w:p>
          <w:p w14:paraId="1762C8DB" w14:textId="48DA1F28" w:rsidR="0040122E" w:rsidRPr="00A3799C" w:rsidRDefault="0040122E" w:rsidP="0040122E">
            <w:pPr>
              <w:widowControl w:val="0"/>
              <w:tabs>
                <w:tab w:val="left" w:pos="1718"/>
              </w:tabs>
              <w:autoSpaceDE w:val="0"/>
              <w:autoSpaceDN w:val="0"/>
              <w:spacing w:after="0" w:line="360" w:lineRule="auto"/>
              <w:ind w:left="122"/>
              <w:rPr>
                <w:rFonts w:ascii="Times New Roman" w:eastAsia="Verdana" w:hAnsi="Times New Roman" w:cs="Times New Roman"/>
                <w:sz w:val="18"/>
              </w:rPr>
            </w:pPr>
            <w:r w:rsidRPr="00A3799C">
              <w:rPr>
                <w:rFonts w:ascii="Times New Roman" w:eastAsia="Verdana" w:hAnsi="Times New Roman" w:cs="Times New Roman"/>
                <w:sz w:val="18"/>
              </w:rPr>
              <w:t>Accepted:</w:t>
            </w:r>
            <w:r w:rsidRPr="00A3799C">
              <w:rPr>
                <w:rFonts w:ascii="Times New Roman" w:eastAsia="Verdana" w:hAnsi="Times New Roman" w:cs="Times New Roman"/>
                <w:sz w:val="18"/>
              </w:rPr>
              <w:tab/>
            </w:r>
            <w:r>
              <w:rPr>
                <w:rFonts w:ascii="Times New Roman" w:eastAsia="Verdana" w:hAnsi="Times New Roman" w:cs="Times New Roman"/>
                <w:sz w:val="18"/>
              </w:rPr>
              <w:t xml:space="preserve">   May        </w:t>
            </w:r>
            <w:r w:rsidRPr="00A3799C">
              <w:rPr>
                <w:rFonts w:ascii="Times New Roman" w:eastAsia="Verdana" w:hAnsi="Times New Roman" w:cs="Times New Roman"/>
                <w:sz w:val="18"/>
              </w:rPr>
              <w:t xml:space="preserve">   </w:t>
            </w:r>
            <w:r>
              <w:rPr>
                <w:rFonts w:ascii="Times New Roman" w:eastAsia="Verdana" w:hAnsi="Times New Roman" w:cs="Times New Roman"/>
                <w:sz w:val="18"/>
              </w:rPr>
              <w:t xml:space="preserve">        </w:t>
            </w:r>
            <w:r w:rsidR="00EE55B9">
              <w:rPr>
                <w:rFonts w:ascii="Times New Roman" w:eastAsia="Verdana" w:hAnsi="Times New Roman" w:cs="Times New Roman"/>
                <w:sz w:val="18"/>
              </w:rPr>
              <w:t>10</w:t>
            </w:r>
            <w:r w:rsidRPr="00A3799C">
              <w:rPr>
                <w:rFonts w:ascii="Times New Roman" w:eastAsia="Verdana" w:hAnsi="Times New Roman" w:cs="Times New Roman"/>
                <w:sz w:val="18"/>
              </w:rPr>
              <w:t>,202</w:t>
            </w:r>
            <w:r w:rsidR="00A435D2">
              <w:rPr>
                <w:rFonts w:ascii="Times New Roman" w:eastAsia="Verdana" w:hAnsi="Times New Roman" w:cs="Times New Roman"/>
                <w:sz w:val="18"/>
              </w:rPr>
              <w:t>5</w:t>
            </w:r>
          </w:p>
          <w:p w14:paraId="43C034E7" w14:textId="19DE208C" w:rsidR="0040122E" w:rsidRDefault="0040122E" w:rsidP="0040122E">
            <w:pPr>
              <w:widowControl w:val="0"/>
              <w:tabs>
                <w:tab w:val="left" w:pos="3778"/>
              </w:tabs>
              <w:autoSpaceDE w:val="0"/>
              <w:autoSpaceDN w:val="0"/>
              <w:spacing w:after="0" w:line="171" w:lineRule="exact"/>
              <w:ind w:right="-15"/>
              <w:rPr>
                <w:rFonts w:ascii="Times New Roman" w:eastAsia="Verdana" w:hAnsi="Times New Roman" w:cs="Times New Roman"/>
                <w:sz w:val="18"/>
              </w:rPr>
            </w:pPr>
            <w:r>
              <w:rPr>
                <w:rFonts w:ascii="Times New Roman" w:eastAsia="Verdana" w:hAnsi="Times New Roman" w:cs="Times New Roman"/>
                <w:sz w:val="18"/>
              </w:rPr>
              <w:t xml:space="preserve">  </w:t>
            </w:r>
            <w:r w:rsidRPr="00A3799C">
              <w:rPr>
                <w:rFonts w:ascii="Times New Roman" w:eastAsia="Verdana" w:hAnsi="Times New Roman" w:cs="Times New Roman"/>
                <w:sz w:val="18"/>
              </w:rPr>
              <w:t xml:space="preserve">Available Online:          </w:t>
            </w:r>
            <w:r>
              <w:rPr>
                <w:rFonts w:ascii="Times New Roman" w:eastAsia="Verdana" w:hAnsi="Times New Roman" w:cs="Times New Roman"/>
                <w:sz w:val="18"/>
              </w:rPr>
              <w:t xml:space="preserve">June        </w:t>
            </w:r>
            <w:r w:rsidRPr="00A3799C">
              <w:rPr>
                <w:rFonts w:ascii="Times New Roman" w:eastAsia="Verdana" w:hAnsi="Times New Roman" w:cs="Times New Roman"/>
                <w:sz w:val="18"/>
              </w:rPr>
              <w:t xml:space="preserve">           </w:t>
            </w:r>
            <w:r>
              <w:rPr>
                <w:rFonts w:ascii="Times New Roman" w:eastAsia="Verdana" w:hAnsi="Times New Roman" w:cs="Times New Roman"/>
                <w:sz w:val="18"/>
              </w:rPr>
              <w:t>30</w:t>
            </w:r>
            <w:r w:rsidRPr="00A3799C">
              <w:rPr>
                <w:rFonts w:ascii="Times New Roman" w:eastAsia="Verdana" w:hAnsi="Times New Roman" w:cs="Times New Roman"/>
                <w:sz w:val="18"/>
              </w:rPr>
              <w:t>,202</w:t>
            </w:r>
            <w:r w:rsidR="00A435D2">
              <w:rPr>
                <w:rFonts w:ascii="Times New Roman" w:eastAsia="Verdana" w:hAnsi="Times New Roman" w:cs="Times New Roman"/>
                <w:sz w:val="18"/>
              </w:rPr>
              <w:t>5</w:t>
            </w:r>
          </w:p>
          <w:p w14:paraId="3FBA565D" w14:textId="77777777" w:rsidR="0040122E" w:rsidRPr="006858C6" w:rsidRDefault="0040122E" w:rsidP="0063662C">
            <w:pPr>
              <w:widowControl w:val="0"/>
              <w:tabs>
                <w:tab w:val="left" w:pos="3778"/>
              </w:tabs>
              <w:autoSpaceDE w:val="0"/>
              <w:autoSpaceDN w:val="0"/>
              <w:spacing w:after="0" w:line="171" w:lineRule="exact"/>
              <w:ind w:right="-15"/>
              <w:rPr>
                <w:rFonts w:asciiTheme="majorBidi" w:eastAsia="Verdana" w:hAnsiTheme="majorBidi" w:cstheme="majorBidi"/>
                <w:sz w:val="18"/>
              </w:rPr>
            </w:pPr>
            <w:r w:rsidRPr="006858C6">
              <w:rPr>
                <w:rFonts w:asciiTheme="majorBidi" w:eastAsia="Verdana" w:hAnsiTheme="majorBidi" w:cstheme="majorBidi"/>
                <w:sz w:val="18"/>
                <w:u w:val="single"/>
              </w:rPr>
              <w:tab/>
            </w:r>
          </w:p>
        </w:tc>
        <w:tc>
          <w:tcPr>
            <w:tcW w:w="5940" w:type="dxa"/>
            <w:vMerge w:val="restart"/>
            <w:tcBorders>
              <w:top w:val="single" w:sz="8" w:space="0" w:color="000000"/>
            </w:tcBorders>
          </w:tcPr>
          <w:p w14:paraId="6A8FFC75" w14:textId="77777777" w:rsidR="0040122E" w:rsidRDefault="0040122E" w:rsidP="0063662C">
            <w:pPr>
              <w:widowControl w:val="0"/>
              <w:autoSpaceDE w:val="0"/>
              <w:autoSpaceDN w:val="0"/>
              <w:spacing w:before="1" w:after="0" w:line="240" w:lineRule="auto"/>
              <w:ind w:left="53" w:right="105"/>
              <w:jc w:val="both"/>
              <w:rPr>
                <w:rFonts w:asciiTheme="majorBidi" w:eastAsia="Verdana" w:hAnsiTheme="majorBidi" w:cstheme="majorBidi"/>
                <w:i/>
                <w:iCs/>
                <w:sz w:val="20"/>
              </w:rPr>
            </w:pPr>
            <w:r w:rsidRPr="005E2D2C">
              <w:rPr>
                <w:rFonts w:asciiTheme="majorBidi" w:eastAsia="Verdana" w:hAnsiTheme="majorBidi" w:cstheme="majorBidi"/>
                <w:i/>
                <w:iCs/>
                <w:sz w:val="20"/>
              </w:rPr>
              <w:t xml:space="preserve">A field study was conducted during the 2021-22 growing season to evaluate the effects of different nitrogen levels (0, 40, 80, and 120 kg N ha⁻¹) on the performance of two wheat genotypes, </w:t>
            </w:r>
            <w:proofErr w:type="spellStart"/>
            <w:r w:rsidRPr="005E2D2C">
              <w:rPr>
                <w:rFonts w:asciiTheme="majorBidi" w:eastAsia="Verdana" w:hAnsiTheme="majorBidi" w:cstheme="majorBidi"/>
                <w:i/>
                <w:iCs/>
                <w:sz w:val="20"/>
              </w:rPr>
              <w:t>Galaxyand</w:t>
            </w:r>
            <w:proofErr w:type="spellEnd"/>
            <w:r w:rsidRPr="005E2D2C">
              <w:rPr>
                <w:rFonts w:asciiTheme="majorBidi" w:eastAsia="Verdana" w:hAnsiTheme="majorBidi" w:cstheme="majorBidi"/>
                <w:i/>
                <w:iCs/>
                <w:sz w:val="20"/>
              </w:rPr>
              <w:t xml:space="preserve">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The study meticulously gathered detailed data on various growth and yield parameters, which were then rigorously analyzed. The findings revealed that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xml:space="preserve"> consistently outperformed </w:t>
            </w:r>
            <w:proofErr w:type="spellStart"/>
            <w:r w:rsidRPr="005E2D2C">
              <w:rPr>
                <w:rFonts w:asciiTheme="majorBidi" w:eastAsia="Verdana" w:hAnsiTheme="majorBidi" w:cstheme="majorBidi"/>
                <w:i/>
                <w:iCs/>
                <w:sz w:val="20"/>
              </w:rPr>
              <w:t>Galaxyacross</w:t>
            </w:r>
            <w:proofErr w:type="spellEnd"/>
            <w:r w:rsidRPr="005E2D2C">
              <w:rPr>
                <w:rFonts w:asciiTheme="majorBidi" w:eastAsia="Verdana" w:hAnsiTheme="majorBidi" w:cstheme="majorBidi"/>
                <w:i/>
                <w:iCs/>
                <w:sz w:val="20"/>
              </w:rPr>
              <w:t xml:space="preserve"> several key metrics. Throughout the crop growth cycle,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xml:space="preserve"> produced notably taller plants, a trend that was significantly enhanced by incremental nitrogen application. The application of nitrogen at 120 kg ha⁻¹ was particularly effective, resulting in substantial increases in both the number of tillers and fertile tillers per plant in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Furthermore, the grain yield of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xml:space="preserve"> was markedly higher compared to Galaxy, underscoring the genotype's superior responsiveness to nitrogen fertilization. The study conclusively demonstrated that each incremental addition of nitrogen fertilizer had a positive impact on the growth and productivity of the wheat cultivars under investigation.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in particular, exhibited notable superiority in several growth and yield parameters, making it a promising candidate for achieving higher wheat productivity through optimized nitrogen management. The research highlights the critical role of nitrogen fertilization in enhancing wheat growth and yield, with AZRC-</w:t>
            </w:r>
            <w:proofErr w:type="spellStart"/>
            <w:r w:rsidRPr="005E2D2C">
              <w:rPr>
                <w:rFonts w:asciiTheme="majorBidi" w:eastAsia="Verdana" w:hAnsiTheme="majorBidi" w:cstheme="majorBidi"/>
                <w:i/>
                <w:iCs/>
                <w:sz w:val="20"/>
              </w:rPr>
              <w:t>Dera</w:t>
            </w:r>
            <w:proofErr w:type="spellEnd"/>
            <w:r w:rsidRPr="005E2D2C">
              <w:rPr>
                <w:rFonts w:asciiTheme="majorBidi" w:eastAsia="Verdana" w:hAnsiTheme="majorBidi" w:cstheme="majorBidi"/>
                <w:i/>
                <w:iCs/>
                <w:sz w:val="20"/>
              </w:rPr>
              <w:t xml:space="preserve"> showing significant advantages in terms of plant height, tiller production, and grain yield. These findings provide valuable insights for agronomic practices aimed at maximizing wheat productivity.</w:t>
            </w:r>
          </w:p>
          <w:p w14:paraId="30D50A11" w14:textId="77777777" w:rsidR="0040122E" w:rsidRDefault="0040122E" w:rsidP="0063662C">
            <w:pPr>
              <w:widowControl w:val="0"/>
              <w:autoSpaceDE w:val="0"/>
              <w:autoSpaceDN w:val="0"/>
              <w:spacing w:before="1" w:after="0" w:line="240" w:lineRule="auto"/>
              <w:ind w:left="53" w:right="105"/>
              <w:jc w:val="both"/>
              <w:rPr>
                <w:rFonts w:asciiTheme="majorBidi" w:eastAsia="Verdana" w:hAnsiTheme="majorBidi" w:cstheme="majorBidi"/>
                <w:i/>
                <w:iCs/>
                <w:sz w:val="20"/>
              </w:rPr>
            </w:pPr>
          </w:p>
          <w:p w14:paraId="77F007C9" w14:textId="77777777" w:rsidR="0040122E" w:rsidRDefault="0040122E" w:rsidP="0063662C">
            <w:pPr>
              <w:widowControl w:val="0"/>
              <w:autoSpaceDE w:val="0"/>
              <w:autoSpaceDN w:val="0"/>
              <w:spacing w:before="1" w:after="0" w:line="240" w:lineRule="auto"/>
              <w:ind w:left="53" w:right="105"/>
              <w:jc w:val="both"/>
              <w:rPr>
                <w:rFonts w:asciiTheme="majorBidi" w:eastAsia="Verdana" w:hAnsiTheme="majorBidi" w:cstheme="majorBidi"/>
                <w:i/>
                <w:iCs/>
                <w:sz w:val="20"/>
              </w:rPr>
            </w:pPr>
          </w:p>
          <w:p w14:paraId="4E67B383" w14:textId="77777777" w:rsidR="0040122E" w:rsidRDefault="0040122E" w:rsidP="0063662C">
            <w:pPr>
              <w:widowControl w:val="0"/>
              <w:autoSpaceDE w:val="0"/>
              <w:autoSpaceDN w:val="0"/>
              <w:spacing w:before="1" w:after="0" w:line="240" w:lineRule="auto"/>
              <w:ind w:left="53" w:right="105"/>
              <w:jc w:val="both"/>
              <w:rPr>
                <w:rFonts w:asciiTheme="majorBidi" w:eastAsia="Verdana" w:hAnsiTheme="majorBidi" w:cstheme="majorBidi"/>
                <w:i/>
                <w:iCs/>
                <w:sz w:val="20"/>
              </w:rPr>
            </w:pPr>
          </w:p>
          <w:p w14:paraId="7B5E8E6A" w14:textId="77777777" w:rsidR="0040122E" w:rsidRDefault="0040122E" w:rsidP="0063662C">
            <w:pPr>
              <w:widowControl w:val="0"/>
              <w:autoSpaceDE w:val="0"/>
              <w:autoSpaceDN w:val="0"/>
              <w:spacing w:before="1" w:after="0" w:line="240" w:lineRule="auto"/>
              <w:ind w:left="53" w:right="105"/>
              <w:jc w:val="both"/>
              <w:rPr>
                <w:rFonts w:asciiTheme="majorBidi" w:eastAsia="Verdana" w:hAnsiTheme="majorBidi" w:cstheme="majorBidi"/>
                <w:i/>
                <w:iCs/>
                <w:sz w:val="20"/>
              </w:rPr>
            </w:pPr>
          </w:p>
          <w:p w14:paraId="758A72F0" w14:textId="77777777" w:rsidR="0040122E" w:rsidRPr="0091264F" w:rsidRDefault="0040122E" w:rsidP="0063662C">
            <w:pPr>
              <w:widowControl w:val="0"/>
              <w:autoSpaceDE w:val="0"/>
              <w:autoSpaceDN w:val="0"/>
              <w:spacing w:before="1" w:after="0" w:line="240" w:lineRule="auto"/>
              <w:ind w:left="53" w:right="105"/>
              <w:jc w:val="both"/>
              <w:rPr>
                <w:rFonts w:asciiTheme="majorBidi" w:eastAsia="Verdana" w:hAnsiTheme="majorBidi" w:cstheme="majorBidi"/>
                <w:i/>
                <w:iCs/>
                <w:sz w:val="20"/>
              </w:rPr>
            </w:pPr>
          </w:p>
        </w:tc>
      </w:tr>
      <w:tr w:rsidR="0040122E" w:rsidRPr="006858C6" w14:paraId="6E833A9A" w14:textId="77777777" w:rsidTr="0063662C">
        <w:trPr>
          <w:trHeight w:val="709"/>
          <w:jc w:val="center"/>
        </w:trPr>
        <w:tc>
          <w:tcPr>
            <w:tcW w:w="3690" w:type="dxa"/>
          </w:tcPr>
          <w:p w14:paraId="4D4D9802" w14:textId="77777777" w:rsidR="0040122E" w:rsidRPr="006858C6" w:rsidRDefault="0040122E" w:rsidP="0063662C">
            <w:pPr>
              <w:widowControl w:val="0"/>
              <w:autoSpaceDE w:val="0"/>
              <w:autoSpaceDN w:val="0"/>
              <w:spacing w:after="0" w:line="219" w:lineRule="exact"/>
              <w:ind w:left="122"/>
              <w:rPr>
                <w:rFonts w:ascii="Verdana" w:eastAsia="Verdana" w:hAnsi="Verdana" w:cs="Verdana"/>
              </w:rPr>
            </w:pPr>
            <w:r w:rsidRPr="006858C6">
              <w:rPr>
                <w:rFonts w:asciiTheme="majorBidi" w:eastAsia="Verdana" w:hAnsiTheme="majorBidi" w:cstheme="majorBidi"/>
                <w:b/>
                <w:i/>
                <w:sz w:val="20"/>
              </w:rPr>
              <w:t>Keywords:</w:t>
            </w:r>
            <w:r w:rsidRPr="006858C6">
              <w:rPr>
                <w:rFonts w:ascii="Verdana" w:eastAsia="Verdana" w:hAnsi="Verdana" w:cs="Verdana"/>
              </w:rPr>
              <w:t xml:space="preserve"> </w:t>
            </w:r>
          </w:p>
          <w:p w14:paraId="34CD5B32" w14:textId="77777777" w:rsidR="0040122E" w:rsidRPr="006858C6" w:rsidRDefault="0040122E" w:rsidP="0063662C">
            <w:pPr>
              <w:widowControl w:val="0"/>
              <w:autoSpaceDE w:val="0"/>
              <w:autoSpaceDN w:val="0"/>
              <w:spacing w:after="0" w:line="219" w:lineRule="exact"/>
              <w:ind w:left="122"/>
              <w:rPr>
                <w:rFonts w:ascii="Verdana" w:eastAsia="Verdana" w:hAnsi="Verdana" w:cs="Verdana"/>
              </w:rPr>
            </w:pPr>
          </w:p>
          <w:p w14:paraId="4530582B" w14:textId="77777777" w:rsidR="0040122E" w:rsidRDefault="0040122E" w:rsidP="0063662C">
            <w:pPr>
              <w:widowControl w:val="0"/>
              <w:tabs>
                <w:tab w:val="left" w:pos="3778"/>
              </w:tabs>
              <w:autoSpaceDE w:val="0"/>
              <w:autoSpaceDN w:val="0"/>
              <w:spacing w:before="29" w:after="0" w:line="207" w:lineRule="exact"/>
              <w:ind w:left="14" w:right="-15"/>
              <w:rPr>
                <w:rFonts w:asciiTheme="majorBidi" w:eastAsia="Verdana" w:hAnsiTheme="majorBidi" w:cstheme="majorBidi"/>
                <w:sz w:val="18"/>
                <w:u w:val="single"/>
              </w:rPr>
            </w:pPr>
          </w:p>
          <w:p w14:paraId="6AB33CA4" w14:textId="77777777" w:rsidR="0040122E" w:rsidRPr="0040122E" w:rsidRDefault="0040122E" w:rsidP="0040122E">
            <w:pPr>
              <w:widowControl w:val="0"/>
              <w:tabs>
                <w:tab w:val="left" w:pos="3778"/>
              </w:tabs>
              <w:autoSpaceDE w:val="0"/>
              <w:autoSpaceDN w:val="0"/>
              <w:spacing w:before="29" w:after="0" w:line="207" w:lineRule="exact"/>
              <w:ind w:left="14" w:right="-15"/>
              <w:jc w:val="both"/>
              <w:rPr>
                <w:rFonts w:asciiTheme="majorBidi" w:eastAsia="Verdana" w:hAnsiTheme="majorBidi" w:cstheme="majorBidi"/>
                <w:i/>
                <w:iCs/>
                <w:sz w:val="18"/>
              </w:rPr>
            </w:pPr>
            <w:r w:rsidRPr="0040122E">
              <w:rPr>
                <w:rFonts w:asciiTheme="majorBidi" w:eastAsia="Verdana" w:hAnsiTheme="majorBidi" w:cstheme="majorBidi"/>
                <w:i/>
                <w:iCs/>
                <w:sz w:val="18"/>
              </w:rPr>
              <w:t>Wheat genotypes, Fertilization rates, Nitrogen efficiency, Grain quality, Yield components, Sustainable agriculture</w:t>
            </w:r>
          </w:p>
          <w:p w14:paraId="792A434E" w14:textId="77777777" w:rsidR="0040122E" w:rsidRPr="006858C6" w:rsidRDefault="0040122E" w:rsidP="0063662C">
            <w:pPr>
              <w:widowControl w:val="0"/>
              <w:tabs>
                <w:tab w:val="left" w:pos="3778"/>
              </w:tabs>
              <w:autoSpaceDE w:val="0"/>
              <w:autoSpaceDN w:val="0"/>
              <w:spacing w:before="29" w:after="0" w:line="207" w:lineRule="exact"/>
              <w:ind w:left="14" w:right="-15"/>
              <w:rPr>
                <w:rFonts w:asciiTheme="majorBidi" w:eastAsia="Verdana" w:hAnsiTheme="majorBidi" w:cstheme="majorBidi"/>
                <w:sz w:val="18"/>
              </w:rPr>
            </w:pPr>
            <w:r w:rsidRPr="006858C6">
              <w:rPr>
                <w:rFonts w:asciiTheme="majorBidi" w:eastAsia="Verdana" w:hAnsiTheme="majorBidi" w:cstheme="majorBidi"/>
                <w:sz w:val="18"/>
                <w:u w:val="single"/>
              </w:rPr>
              <w:tab/>
            </w:r>
          </w:p>
        </w:tc>
        <w:tc>
          <w:tcPr>
            <w:tcW w:w="5940" w:type="dxa"/>
            <w:vMerge/>
            <w:tcBorders>
              <w:top w:val="nil"/>
            </w:tcBorders>
          </w:tcPr>
          <w:p w14:paraId="6564FE78" w14:textId="77777777" w:rsidR="0040122E" w:rsidRPr="006858C6" w:rsidRDefault="0040122E" w:rsidP="0063662C">
            <w:pPr>
              <w:widowControl w:val="0"/>
              <w:autoSpaceDE w:val="0"/>
              <w:autoSpaceDN w:val="0"/>
              <w:spacing w:after="0" w:line="240" w:lineRule="auto"/>
              <w:rPr>
                <w:rFonts w:asciiTheme="majorBidi" w:eastAsia="Verdana" w:hAnsiTheme="majorBidi" w:cstheme="majorBidi"/>
                <w:sz w:val="2"/>
                <w:szCs w:val="2"/>
              </w:rPr>
            </w:pPr>
          </w:p>
        </w:tc>
      </w:tr>
      <w:tr w:rsidR="0040122E" w:rsidRPr="007732A8" w14:paraId="48B22A9A" w14:textId="77777777" w:rsidTr="0063662C">
        <w:trPr>
          <w:trHeight w:val="2448"/>
          <w:jc w:val="center"/>
        </w:trPr>
        <w:tc>
          <w:tcPr>
            <w:tcW w:w="3690" w:type="dxa"/>
            <w:vMerge w:val="restart"/>
            <w:tcBorders>
              <w:bottom w:val="single" w:sz="8" w:space="0" w:color="000000"/>
            </w:tcBorders>
          </w:tcPr>
          <w:p w14:paraId="3B6C0D32" w14:textId="77777777" w:rsidR="0040122E" w:rsidRPr="007732A8" w:rsidRDefault="0040122E" w:rsidP="0063662C">
            <w:pPr>
              <w:widowControl w:val="0"/>
              <w:autoSpaceDE w:val="0"/>
              <w:autoSpaceDN w:val="0"/>
              <w:spacing w:after="0" w:line="240" w:lineRule="auto"/>
              <w:rPr>
                <w:rFonts w:asciiTheme="majorBidi" w:eastAsia="Verdana" w:hAnsiTheme="majorBidi" w:cstheme="majorBidi"/>
                <w:sz w:val="20"/>
              </w:rPr>
            </w:pPr>
          </w:p>
          <w:p w14:paraId="3B431CB1" w14:textId="77777777" w:rsidR="0040122E" w:rsidRPr="007732A8" w:rsidRDefault="0040122E" w:rsidP="0063662C">
            <w:pPr>
              <w:widowControl w:val="0"/>
              <w:tabs>
                <w:tab w:val="left" w:pos="2880"/>
              </w:tabs>
              <w:autoSpaceDE w:val="0"/>
              <w:autoSpaceDN w:val="0"/>
              <w:spacing w:after="0" w:line="240" w:lineRule="auto"/>
              <w:rPr>
                <w:rFonts w:asciiTheme="majorBidi" w:eastAsia="Verdana" w:hAnsiTheme="majorBidi" w:cstheme="majorBidi"/>
                <w:sz w:val="20"/>
              </w:rPr>
            </w:pPr>
            <w:r w:rsidRPr="006858C6">
              <w:rPr>
                <w:rFonts w:asciiTheme="majorBidi" w:eastAsia="Verdana" w:hAnsiTheme="majorBidi" w:cstheme="majorBidi"/>
                <w:noProof/>
                <w:sz w:val="20"/>
              </w:rPr>
              <w:drawing>
                <wp:anchor distT="0" distB="0" distL="114300" distR="114300" simplePos="0" relativeHeight="251661312" behindDoc="0" locked="0" layoutInCell="1" allowOverlap="1" wp14:anchorId="08CB71BE" wp14:editId="7F9EB609">
                  <wp:simplePos x="0" y="0"/>
                  <wp:positionH relativeFrom="column">
                    <wp:posOffset>-28575</wp:posOffset>
                  </wp:positionH>
                  <wp:positionV relativeFrom="paragraph">
                    <wp:posOffset>2101850</wp:posOffset>
                  </wp:positionV>
                  <wp:extent cx="1287145" cy="462280"/>
                  <wp:effectExtent l="0" t="0" r="8255" b="0"/>
                  <wp:wrapSquare wrapText="bothSides"/>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145" cy="462280"/>
                          </a:xfrm>
                          <a:prstGeom prst="rect">
                            <a:avLst/>
                          </a:prstGeom>
                        </pic:spPr>
                      </pic:pic>
                    </a:graphicData>
                  </a:graphic>
                </wp:anchor>
              </w:drawing>
            </w:r>
            <w:r w:rsidRPr="007732A8">
              <w:rPr>
                <w:rFonts w:asciiTheme="majorBidi" w:eastAsia="Verdana" w:hAnsiTheme="majorBidi" w:cstheme="majorBidi"/>
                <w:sz w:val="20"/>
              </w:rPr>
              <w:tab/>
            </w:r>
          </w:p>
        </w:tc>
        <w:tc>
          <w:tcPr>
            <w:tcW w:w="5940" w:type="dxa"/>
            <w:vMerge/>
            <w:tcBorders>
              <w:top w:val="nil"/>
            </w:tcBorders>
          </w:tcPr>
          <w:p w14:paraId="18B090DD" w14:textId="77777777" w:rsidR="0040122E" w:rsidRPr="007732A8" w:rsidRDefault="0040122E" w:rsidP="0063662C">
            <w:pPr>
              <w:widowControl w:val="0"/>
              <w:autoSpaceDE w:val="0"/>
              <w:autoSpaceDN w:val="0"/>
              <w:spacing w:after="0" w:line="240" w:lineRule="auto"/>
              <w:rPr>
                <w:rFonts w:asciiTheme="majorBidi" w:eastAsia="Verdana" w:hAnsiTheme="majorBidi" w:cstheme="majorBidi"/>
                <w:sz w:val="2"/>
                <w:szCs w:val="2"/>
              </w:rPr>
            </w:pPr>
          </w:p>
        </w:tc>
      </w:tr>
      <w:tr w:rsidR="0040122E" w:rsidRPr="006858C6" w14:paraId="68EE3468" w14:textId="77777777" w:rsidTr="0040122E">
        <w:trPr>
          <w:trHeight w:val="907"/>
          <w:jc w:val="center"/>
        </w:trPr>
        <w:tc>
          <w:tcPr>
            <w:tcW w:w="3690" w:type="dxa"/>
            <w:vMerge/>
            <w:tcBorders>
              <w:top w:val="nil"/>
              <w:bottom w:val="single" w:sz="8" w:space="0" w:color="000000"/>
            </w:tcBorders>
          </w:tcPr>
          <w:p w14:paraId="76193840" w14:textId="77777777" w:rsidR="0040122E" w:rsidRPr="007732A8" w:rsidRDefault="0040122E" w:rsidP="0063662C">
            <w:pPr>
              <w:widowControl w:val="0"/>
              <w:autoSpaceDE w:val="0"/>
              <w:autoSpaceDN w:val="0"/>
              <w:spacing w:after="0" w:line="240" w:lineRule="auto"/>
              <w:rPr>
                <w:rFonts w:asciiTheme="majorBidi" w:eastAsia="Verdana" w:hAnsiTheme="majorBidi" w:cstheme="majorBidi"/>
                <w:sz w:val="2"/>
                <w:szCs w:val="2"/>
              </w:rPr>
            </w:pPr>
          </w:p>
        </w:tc>
        <w:tc>
          <w:tcPr>
            <w:tcW w:w="5940" w:type="dxa"/>
            <w:tcBorders>
              <w:bottom w:val="single" w:sz="8" w:space="0" w:color="000000"/>
            </w:tcBorders>
          </w:tcPr>
          <w:p w14:paraId="408FD514" w14:textId="27AED72F" w:rsidR="0040122E" w:rsidRPr="0091264F" w:rsidRDefault="0040122E" w:rsidP="0063662C">
            <w:pPr>
              <w:widowControl w:val="0"/>
              <w:autoSpaceDE w:val="0"/>
              <w:autoSpaceDN w:val="0"/>
              <w:spacing w:before="128" w:after="0" w:line="190" w:lineRule="atLeast"/>
              <w:ind w:left="404" w:right="91" w:firstLine="182"/>
              <w:jc w:val="both"/>
              <w:rPr>
                <w:rFonts w:asciiTheme="majorBidi" w:eastAsia="Verdana" w:hAnsiTheme="majorBidi" w:cstheme="majorBidi"/>
                <w:b/>
                <w:bCs/>
                <w:i/>
                <w:sz w:val="16"/>
              </w:rPr>
            </w:pPr>
            <w:r w:rsidRPr="0091264F">
              <w:rPr>
                <w:rFonts w:asciiTheme="majorBidi" w:eastAsia="Verdana" w:hAnsiTheme="majorBidi" w:cstheme="majorBidi"/>
                <w:b/>
                <w:bCs/>
                <w:i/>
                <w:sz w:val="20"/>
                <w:szCs w:val="28"/>
              </w:rPr>
              <w:t>© 202</w:t>
            </w:r>
            <w:r w:rsidR="00A435D2">
              <w:rPr>
                <w:rFonts w:asciiTheme="majorBidi" w:eastAsia="Verdana" w:hAnsiTheme="majorBidi" w:cstheme="majorBidi"/>
                <w:b/>
                <w:bCs/>
                <w:i/>
                <w:sz w:val="20"/>
                <w:szCs w:val="28"/>
              </w:rPr>
              <w:t>5</w:t>
            </w:r>
            <w:r w:rsidRPr="0091264F">
              <w:rPr>
                <w:rFonts w:asciiTheme="majorBidi" w:eastAsia="Verdana" w:hAnsiTheme="majorBidi" w:cstheme="majorBidi"/>
                <w:b/>
                <w:bCs/>
                <w:i/>
                <w:sz w:val="20"/>
                <w:szCs w:val="28"/>
              </w:rPr>
              <w:t xml:space="preserve">The Authors, Published by </w:t>
            </w:r>
            <w:r w:rsidR="003B6E00">
              <w:rPr>
                <w:rFonts w:asciiTheme="majorBidi" w:eastAsia="Verdana" w:hAnsiTheme="majorBidi" w:cstheme="majorBidi"/>
                <w:b/>
                <w:bCs/>
                <w:i/>
                <w:sz w:val="20"/>
                <w:szCs w:val="28"/>
              </w:rPr>
              <w:t>IJAB</w:t>
            </w:r>
            <w:r w:rsidRPr="0091264F">
              <w:rPr>
                <w:rFonts w:asciiTheme="majorBidi" w:eastAsia="Verdana" w:hAnsiTheme="majorBidi" w:cstheme="majorBidi"/>
                <w:b/>
                <w:bCs/>
                <w:i/>
                <w:sz w:val="20"/>
                <w:szCs w:val="28"/>
              </w:rPr>
              <w:t>. This is an Open Access Article under the Creative Common Attribution Non-Commercial 4.0</w:t>
            </w:r>
          </w:p>
        </w:tc>
      </w:tr>
    </w:tbl>
    <w:p w14:paraId="155D7950" w14:textId="021BD1D0" w:rsidR="0040122E" w:rsidRPr="007732A8" w:rsidRDefault="0040122E" w:rsidP="0040122E">
      <w:pPr>
        <w:widowControl w:val="0"/>
        <w:autoSpaceDE w:val="0"/>
        <w:autoSpaceDN w:val="0"/>
        <w:spacing w:after="0" w:line="240" w:lineRule="auto"/>
        <w:rPr>
          <w:rFonts w:asciiTheme="majorBidi" w:eastAsia="Verdana" w:hAnsiTheme="majorBidi" w:cstheme="majorBidi"/>
          <w:color w:val="0070C0"/>
          <w:sz w:val="24"/>
          <w:szCs w:val="24"/>
          <w:u w:val="single"/>
        </w:rPr>
      </w:pPr>
      <w:r w:rsidRPr="007732A8">
        <w:rPr>
          <w:rFonts w:asciiTheme="majorBidi" w:eastAsia="Verdana" w:hAnsiTheme="majorBidi" w:cstheme="majorBidi"/>
          <w:sz w:val="24"/>
          <w:szCs w:val="24"/>
        </w:rPr>
        <w:t xml:space="preserve">Corresponding Author’s Email: </w:t>
      </w:r>
      <w:hyperlink r:id="rId9" w:history="1">
        <w:r w:rsidR="00F240DD" w:rsidRPr="004425DA">
          <w:rPr>
            <w:rStyle w:val="Hyperlink"/>
            <w:rFonts w:asciiTheme="majorBidi" w:eastAsia="Verdana" w:hAnsiTheme="majorBidi" w:cstheme="majorBidi"/>
            <w:sz w:val="24"/>
            <w:szCs w:val="24"/>
          </w:rPr>
          <w:t>faran0169@gmail.com</w:t>
        </w:r>
      </w:hyperlink>
      <w:r w:rsidR="00F240DD">
        <w:rPr>
          <w:rFonts w:asciiTheme="majorBidi" w:eastAsia="Verdana" w:hAnsiTheme="majorBidi" w:cstheme="majorBidi"/>
          <w:sz w:val="24"/>
          <w:szCs w:val="24"/>
        </w:rPr>
        <w:t xml:space="preserve"> </w:t>
      </w:r>
    </w:p>
    <w:p w14:paraId="3E03AB62" w14:textId="77777777" w:rsidR="0040122E" w:rsidRDefault="0040122E" w:rsidP="0040122E">
      <w:pPr>
        <w:jc w:val="both"/>
        <w:rPr>
          <w:rFonts w:ascii="Times New Roman" w:eastAsia="Times New Roman" w:hAnsi="Times New Roman" w:cs="Times New Roman"/>
          <w:b/>
          <w:sz w:val="24"/>
          <w:szCs w:val="24"/>
        </w:rPr>
      </w:pPr>
    </w:p>
    <w:p w14:paraId="0552ABB3" w14:textId="77777777" w:rsidR="00A45FDD" w:rsidRPr="0040122E" w:rsidRDefault="0040122E" w:rsidP="0040122E">
      <w:pPr>
        <w:spacing w:line="240" w:lineRule="auto"/>
        <w:jc w:val="both"/>
        <w:rPr>
          <w:rFonts w:asciiTheme="majorBidi" w:eastAsia="Times New Roman" w:hAnsiTheme="majorBidi" w:cstheme="majorBidi"/>
          <w:b/>
          <w:sz w:val="28"/>
          <w:szCs w:val="28"/>
        </w:rPr>
      </w:pPr>
      <w:bookmarkStart w:id="0" w:name="_GoBack"/>
      <w:bookmarkEnd w:id="0"/>
      <w:r w:rsidRPr="0040122E">
        <w:rPr>
          <w:rFonts w:asciiTheme="majorBidi" w:eastAsia="Times New Roman" w:hAnsiTheme="majorBidi" w:cstheme="majorBidi"/>
          <w:b/>
          <w:sz w:val="28"/>
          <w:szCs w:val="28"/>
        </w:rPr>
        <w:lastRenderedPageBreak/>
        <w:t>INTRODUCTION</w:t>
      </w:r>
    </w:p>
    <w:p w14:paraId="4F91B71C" w14:textId="77777777" w:rsidR="00A45FDD" w:rsidRPr="0040122E" w:rsidRDefault="00A45FDD" w:rsidP="0040122E">
      <w:pPr>
        <w:pStyle w:val="NormalWeb"/>
        <w:spacing w:after="160" w:afterAutospacing="0"/>
        <w:jc w:val="both"/>
        <w:rPr>
          <w:rFonts w:asciiTheme="majorBidi" w:hAnsiTheme="majorBidi" w:cstheme="majorBidi"/>
        </w:rPr>
      </w:pPr>
      <w:r w:rsidRPr="0040122E">
        <w:rPr>
          <w:rFonts w:asciiTheme="majorBidi" w:hAnsiTheme="majorBidi" w:cstheme="majorBidi"/>
        </w:rPr>
        <w:t>Wheat (</w:t>
      </w:r>
      <w:r w:rsidRPr="0040122E">
        <w:rPr>
          <w:rFonts w:asciiTheme="majorBidi" w:hAnsiTheme="majorBidi" w:cstheme="majorBidi"/>
          <w:i/>
        </w:rPr>
        <w:t xml:space="preserve">Triticum </w:t>
      </w:r>
      <w:proofErr w:type="spellStart"/>
      <w:r w:rsidRPr="0040122E">
        <w:rPr>
          <w:rFonts w:asciiTheme="majorBidi" w:hAnsiTheme="majorBidi" w:cstheme="majorBidi"/>
          <w:i/>
        </w:rPr>
        <w:t>aestivum</w:t>
      </w:r>
      <w:proofErr w:type="spellEnd"/>
      <w:r w:rsidRPr="0040122E">
        <w:rPr>
          <w:rFonts w:asciiTheme="majorBidi" w:hAnsiTheme="majorBidi" w:cstheme="majorBidi"/>
        </w:rPr>
        <w:t xml:space="preserve"> L.) is a crucial global cereal crop, ranking third in significance after maize and rice, and contributes approximately 30% to the world's total cereal production, highlighting its essential role in global food security </w:t>
      </w:r>
      <w:r w:rsidR="002701B8" w:rsidRPr="0040122E">
        <w:rPr>
          <w:rFonts w:asciiTheme="majorBidi" w:hAnsiTheme="majorBidi" w:cstheme="majorBidi"/>
          <w:vertAlign w:val="superscript"/>
        </w:rPr>
        <w:t>1</w:t>
      </w:r>
      <w:r w:rsidRPr="0040122E">
        <w:rPr>
          <w:rFonts w:asciiTheme="majorBidi" w:hAnsiTheme="majorBidi" w:cstheme="majorBidi"/>
        </w:rPr>
        <w:t xml:space="preserve">. In Pakistan, wheat is a staple food, occupying about 37% of the total cultivated land area and significantly contributing to agriculture with nearly a 14% share. Despite its importance, there is a notable yield gap, particularly evident during the 2022-23 period when wheat was cultivated on 11 million hectares, yielding 26.767 million tons </w:t>
      </w:r>
      <w:r w:rsidR="002701B8" w:rsidRPr="0040122E">
        <w:rPr>
          <w:rFonts w:asciiTheme="majorBidi" w:hAnsiTheme="majorBidi" w:cstheme="majorBidi"/>
          <w:vertAlign w:val="superscript"/>
        </w:rPr>
        <w:t>2</w:t>
      </w:r>
      <w:r w:rsidRPr="0040122E">
        <w:rPr>
          <w:rFonts w:asciiTheme="majorBidi" w:hAnsiTheme="majorBidi" w:cstheme="majorBidi"/>
        </w:rPr>
        <w:t>. Bridging this yield gap is crucial for enhancing productivity per unit area.</w:t>
      </w:r>
    </w:p>
    <w:p w14:paraId="242A9925" w14:textId="77777777" w:rsidR="00A45FDD" w:rsidRPr="0040122E" w:rsidRDefault="00A45FDD" w:rsidP="0040122E">
      <w:pPr>
        <w:pStyle w:val="NormalWeb"/>
        <w:spacing w:after="160" w:afterAutospacing="0"/>
        <w:jc w:val="both"/>
        <w:rPr>
          <w:rFonts w:asciiTheme="majorBidi" w:hAnsiTheme="majorBidi" w:cstheme="majorBidi"/>
        </w:rPr>
      </w:pPr>
      <w:r w:rsidRPr="0040122E">
        <w:rPr>
          <w:rFonts w:asciiTheme="majorBidi" w:hAnsiTheme="majorBidi" w:cstheme="majorBidi"/>
        </w:rPr>
        <w:t xml:space="preserve">Intensive agriculture and the introduction of new, more productive wheat genotypes have led to significant nitrogen depletion in the soil. However, crops show a positive response to added nitrogen, underscoring its critical role </w:t>
      </w:r>
      <w:r w:rsidR="002701B8" w:rsidRPr="0040122E">
        <w:rPr>
          <w:rFonts w:asciiTheme="majorBidi" w:hAnsiTheme="majorBidi" w:cstheme="majorBidi"/>
          <w:vertAlign w:val="superscript"/>
        </w:rPr>
        <w:t>3</w:t>
      </w:r>
      <w:r w:rsidRPr="0040122E">
        <w:rPr>
          <w:rFonts w:asciiTheme="majorBidi" w:hAnsiTheme="majorBidi" w:cstheme="majorBidi"/>
        </w:rPr>
        <w:t>. Nitrogen is vital for plant metabolism, particularly in protein synthesis and chlorophyll production. Adequate nitrogen supply boosts photosynthetic activity, promotes strong vegetative growth, and imparts a deep green color, influencing carbohydrate utilization.</w:t>
      </w:r>
    </w:p>
    <w:p w14:paraId="1141F078" w14:textId="77777777" w:rsidR="00A45FDD" w:rsidRPr="0040122E" w:rsidRDefault="00A45FDD" w:rsidP="0040122E">
      <w:pPr>
        <w:pStyle w:val="NormalWeb"/>
        <w:spacing w:after="160" w:afterAutospacing="0"/>
        <w:jc w:val="both"/>
        <w:rPr>
          <w:rFonts w:asciiTheme="majorBidi" w:hAnsiTheme="majorBidi" w:cstheme="majorBidi"/>
        </w:rPr>
      </w:pPr>
      <w:r w:rsidRPr="0040122E">
        <w:rPr>
          <w:rFonts w:asciiTheme="majorBidi" w:hAnsiTheme="majorBidi" w:cstheme="majorBidi"/>
        </w:rPr>
        <w:t xml:space="preserve">Recent studies highlight the benefits of nitrogen application at specific growth stages for cereals such as maize, wheat, sorghum, and barley. Fertilization with nitrogen, especially after </w:t>
      </w:r>
      <w:proofErr w:type="spellStart"/>
      <w:r w:rsidRPr="0040122E">
        <w:rPr>
          <w:rFonts w:asciiTheme="majorBidi" w:hAnsiTheme="majorBidi" w:cstheme="majorBidi"/>
        </w:rPr>
        <w:t>silking</w:t>
      </w:r>
      <w:proofErr w:type="spellEnd"/>
      <w:r w:rsidRPr="0040122E">
        <w:rPr>
          <w:rFonts w:asciiTheme="majorBidi" w:hAnsiTheme="majorBidi" w:cstheme="majorBidi"/>
        </w:rPr>
        <w:t xml:space="preserve"> or grain filling, is crucial for maximizing grain yields </w:t>
      </w:r>
      <w:r w:rsidR="002701B8" w:rsidRPr="0040122E">
        <w:rPr>
          <w:rFonts w:asciiTheme="majorBidi" w:hAnsiTheme="majorBidi" w:cstheme="majorBidi"/>
          <w:vertAlign w:val="superscript"/>
        </w:rPr>
        <w:t>4</w:t>
      </w:r>
      <w:r w:rsidRPr="0040122E">
        <w:rPr>
          <w:rFonts w:asciiTheme="majorBidi" w:hAnsiTheme="majorBidi" w:cstheme="majorBidi"/>
        </w:rPr>
        <w:t xml:space="preserve">. High-yielding varieties generally exhibit increased yield components with elevated nitrogen levels </w:t>
      </w:r>
      <w:r w:rsidR="002701B8" w:rsidRPr="0040122E">
        <w:rPr>
          <w:rFonts w:asciiTheme="majorBidi" w:hAnsiTheme="majorBidi" w:cstheme="majorBidi"/>
          <w:vertAlign w:val="superscript"/>
        </w:rPr>
        <w:t>5</w:t>
      </w:r>
      <w:r w:rsidRPr="0040122E">
        <w:rPr>
          <w:rFonts w:asciiTheme="majorBidi" w:hAnsiTheme="majorBidi" w:cstheme="majorBidi"/>
        </w:rPr>
        <w:t>. Therefore, the judicious use of nitrogenous fertilizers is essential for achieving farm profitability while minimizing environmental pollution.</w:t>
      </w:r>
    </w:p>
    <w:p w14:paraId="29B2DEC5" w14:textId="77777777" w:rsidR="00A45FDD" w:rsidRPr="0040122E" w:rsidRDefault="00A45FDD" w:rsidP="0040122E">
      <w:pPr>
        <w:pStyle w:val="NormalWeb"/>
        <w:spacing w:after="160" w:afterAutospacing="0"/>
        <w:jc w:val="both"/>
        <w:rPr>
          <w:rFonts w:asciiTheme="majorBidi" w:hAnsiTheme="majorBidi" w:cstheme="majorBidi"/>
        </w:rPr>
      </w:pPr>
      <w:r w:rsidRPr="0040122E">
        <w:rPr>
          <w:rFonts w:asciiTheme="majorBidi" w:hAnsiTheme="majorBidi" w:cstheme="majorBidi"/>
        </w:rPr>
        <w:t xml:space="preserve">This study aims to address the discrepancy between the beneficial effects of fertilizer usage on wheat and the variable responses of different wheat types to fertilizers. Conducted in the </w:t>
      </w:r>
      <w:proofErr w:type="spellStart"/>
      <w:r w:rsidRPr="0040122E">
        <w:rPr>
          <w:rFonts w:asciiTheme="majorBidi" w:hAnsiTheme="majorBidi" w:cstheme="majorBidi"/>
        </w:rPr>
        <w:t>agro</w:t>
      </w:r>
      <w:proofErr w:type="spellEnd"/>
      <w:r w:rsidRPr="0040122E">
        <w:rPr>
          <w:rFonts w:asciiTheme="majorBidi" w:hAnsiTheme="majorBidi" w:cstheme="majorBidi"/>
        </w:rPr>
        <w:t xml:space="preserve">-ecological settings of DI Khan, the primary objective is to determine the optimal nitrogen fertilizer dosage for wheat growth under these specific conditions. By exploring the intricate relationship between nitrogen, wheat cultivars, and </w:t>
      </w:r>
      <w:proofErr w:type="spellStart"/>
      <w:r w:rsidRPr="0040122E">
        <w:rPr>
          <w:rFonts w:asciiTheme="majorBidi" w:hAnsiTheme="majorBidi" w:cstheme="majorBidi"/>
        </w:rPr>
        <w:t>agro</w:t>
      </w:r>
      <w:proofErr w:type="spellEnd"/>
      <w:r w:rsidRPr="0040122E">
        <w:rPr>
          <w:rFonts w:asciiTheme="majorBidi" w:hAnsiTheme="majorBidi" w:cstheme="majorBidi"/>
        </w:rPr>
        <w:t>-ecological dynamics, this study seeks to provide insights that enhance wheat productivity and promote sustainable agricultural resource management. The subsequent sections will detail the methodology, results, and discussions to unravel the complexities of nitrogen application in optimizing wheat yield in the unique context of DI Khan.</w:t>
      </w:r>
    </w:p>
    <w:p w14:paraId="4E1907BA" w14:textId="77777777" w:rsidR="00A45FDD" w:rsidRPr="0040122E" w:rsidRDefault="0040122E" w:rsidP="0040122E">
      <w:pPr>
        <w:pStyle w:val="NormalWeb"/>
        <w:spacing w:after="160" w:afterAutospacing="0"/>
        <w:jc w:val="both"/>
        <w:rPr>
          <w:rFonts w:asciiTheme="majorBidi" w:hAnsiTheme="majorBidi" w:cstheme="majorBidi"/>
          <w:b/>
          <w:sz w:val="28"/>
          <w:szCs w:val="28"/>
        </w:rPr>
      </w:pPr>
      <w:r w:rsidRPr="0040122E">
        <w:rPr>
          <w:rFonts w:asciiTheme="majorBidi" w:hAnsiTheme="majorBidi" w:cstheme="majorBidi"/>
          <w:b/>
          <w:sz w:val="28"/>
          <w:szCs w:val="28"/>
        </w:rPr>
        <w:t>MATERIALS AND METHODS</w:t>
      </w:r>
    </w:p>
    <w:p w14:paraId="314A5472" w14:textId="77777777" w:rsidR="00A45FDD" w:rsidRPr="0040122E" w:rsidRDefault="00A45FDD" w:rsidP="0040122E">
      <w:pPr>
        <w:spacing w:before="100" w:beforeAutospacing="1" w:line="240" w:lineRule="auto"/>
        <w:jc w:val="both"/>
        <w:outlineLvl w:val="2"/>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Experimental Setup</w:t>
      </w:r>
    </w:p>
    <w:p w14:paraId="0B966625"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 xml:space="preserve">This investigation was conducted at the Research Area of the Arid Zone Research Center, DI Khan, aiming to examine the impact of varying nitrogen levels (0, 40, 80, and 120 kg ha⁻¹) on two wheat genotypes: </w:t>
      </w:r>
      <w:proofErr w:type="spellStart"/>
      <w:r w:rsidRPr="0040122E">
        <w:rPr>
          <w:rFonts w:asciiTheme="majorBidi" w:eastAsia="Times New Roman" w:hAnsiTheme="majorBidi" w:cstheme="majorBidi"/>
          <w:sz w:val="24"/>
          <w:szCs w:val="24"/>
        </w:rPr>
        <w:t>Galaxyand</w:t>
      </w:r>
      <w:proofErr w:type="spellEnd"/>
      <w:r w:rsidRPr="0040122E">
        <w:rPr>
          <w:rFonts w:asciiTheme="majorBidi" w:eastAsia="Times New Roman" w:hAnsiTheme="majorBidi" w:cstheme="majorBidi"/>
          <w:sz w:val="24"/>
          <w:szCs w:val="24"/>
        </w:rPr>
        <w:t xml:space="preserve"> AZRC-</w:t>
      </w:r>
      <w:proofErr w:type="spellStart"/>
      <w:r w:rsidRPr="0040122E">
        <w:rPr>
          <w:rFonts w:asciiTheme="majorBidi" w:eastAsia="Times New Roman" w:hAnsiTheme="majorBidi" w:cstheme="majorBidi"/>
          <w:sz w:val="24"/>
          <w:szCs w:val="24"/>
        </w:rPr>
        <w:t>Dera</w:t>
      </w:r>
      <w:proofErr w:type="spellEnd"/>
      <w:r w:rsidRPr="0040122E">
        <w:rPr>
          <w:rFonts w:asciiTheme="majorBidi" w:eastAsia="Times New Roman" w:hAnsiTheme="majorBidi" w:cstheme="majorBidi"/>
          <w:sz w:val="24"/>
          <w:szCs w:val="24"/>
        </w:rPr>
        <w:t>. The soil in the experimental field was well-prepared, featuring 0.45% organic matter (OM), 0.029% nitrogen, 9 ppm available phosphorus, and 120 ppm exchangeable potassium, creating a conducive environment for wheat growth.</w:t>
      </w:r>
    </w:p>
    <w:p w14:paraId="23D94CEB"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 xml:space="preserve">The experimental design followed a Randomized Complete Block (RCB) Design with a factorial arrangement and four replications. Each treatment was assigned to plots measuring 1.4 m by 4 m. </w:t>
      </w:r>
      <w:r w:rsidRPr="0040122E">
        <w:rPr>
          <w:rFonts w:asciiTheme="majorBidi" w:eastAsia="Times New Roman" w:hAnsiTheme="majorBidi" w:cstheme="majorBidi"/>
          <w:sz w:val="24"/>
          <w:szCs w:val="24"/>
        </w:rPr>
        <w:lastRenderedPageBreak/>
        <w:t>Sowing was carried out using single-row hand drills, with a row spacing of 30 cm. A basal application of 60 kg ha⁻¹ P₂O₅ and 50 kg ha⁻¹ K₂O, along with one-third of the nitrogen dose, was done at sowing. The remaining nitrogen was split into two equal parts: one-third was applied at the first irrigation, and the rest at the second irrigation. This method ensured a steady supply of nitrogen throughout the critical growth stages of the wheat plants.</w:t>
      </w:r>
    </w:p>
    <w:p w14:paraId="6268A50B" w14:textId="77777777" w:rsidR="00A45FDD" w:rsidRPr="0040122E" w:rsidRDefault="00A45FDD" w:rsidP="0040122E">
      <w:pPr>
        <w:spacing w:before="100" w:beforeAutospacing="1" w:line="240" w:lineRule="auto"/>
        <w:jc w:val="both"/>
        <w:outlineLvl w:val="2"/>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Data Collection and Analysis</w:t>
      </w:r>
    </w:p>
    <w:p w14:paraId="63907062"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Comprehensive data were meticulously recorded for various parameters, including the number of plants, tillers, fertile tillers per unit area, straw yield, and grain yield per hectare. The statistical analysis was performed using the "</w:t>
      </w:r>
      <w:proofErr w:type="spellStart"/>
      <w:r w:rsidRPr="0040122E">
        <w:rPr>
          <w:rFonts w:asciiTheme="majorBidi" w:eastAsia="Times New Roman" w:hAnsiTheme="majorBidi" w:cstheme="majorBidi"/>
          <w:sz w:val="24"/>
          <w:szCs w:val="24"/>
        </w:rPr>
        <w:t>Statistix</w:t>
      </w:r>
      <w:proofErr w:type="spellEnd"/>
      <w:r w:rsidRPr="0040122E">
        <w:rPr>
          <w:rFonts w:asciiTheme="majorBidi" w:eastAsia="Times New Roman" w:hAnsiTheme="majorBidi" w:cstheme="majorBidi"/>
          <w:sz w:val="24"/>
          <w:szCs w:val="24"/>
        </w:rPr>
        <w:t xml:space="preserve"> 8.1" software. Differences among treatment means were evaluated using the Least Significant Difference (LSD) test at a 5% probability level, following the methodology outlined by Lee </w:t>
      </w:r>
      <w:r w:rsidR="00771299" w:rsidRPr="0040122E">
        <w:rPr>
          <w:rFonts w:asciiTheme="majorBidi" w:eastAsia="Times New Roman" w:hAnsiTheme="majorBidi" w:cstheme="majorBidi"/>
          <w:i/>
          <w:sz w:val="24"/>
          <w:szCs w:val="24"/>
        </w:rPr>
        <w:t>et al</w:t>
      </w:r>
      <w:r w:rsidRPr="0040122E">
        <w:rPr>
          <w:rFonts w:asciiTheme="majorBidi" w:eastAsia="Times New Roman" w:hAnsiTheme="majorBidi" w:cstheme="majorBidi"/>
          <w:sz w:val="24"/>
          <w:szCs w:val="24"/>
        </w:rPr>
        <w:t xml:space="preserve">. </w:t>
      </w:r>
      <w:r w:rsidR="00B87A51" w:rsidRPr="0040122E">
        <w:rPr>
          <w:rFonts w:asciiTheme="majorBidi" w:eastAsia="Times New Roman" w:hAnsiTheme="majorBidi" w:cstheme="majorBidi"/>
          <w:sz w:val="24"/>
          <w:szCs w:val="24"/>
          <w:vertAlign w:val="superscript"/>
        </w:rPr>
        <w:t>6</w:t>
      </w:r>
      <w:r w:rsidRPr="0040122E">
        <w:rPr>
          <w:rFonts w:asciiTheme="majorBidi" w:eastAsia="Times New Roman" w:hAnsiTheme="majorBidi" w:cstheme="majorBidi"/>
          <w:sz w:val="24"/>
          <w:szCs w:val="24"/>
        </w:rPr>
        <w:t>.</w:t>
      </w:r>
    </w:p>
    <w:p w14:paraId="37345431" w14:textId="77777777" w:rsidR="00A45FDD" w:rsidRPr="0040122E" w:rsidRDefault="00A45FDD" w:rsidP="0040122E">
      <w:pPr>
        <w:spacing w:before="100" w:beforeAutospacing="1" w:line="240" w:lineRule="auto"/>
        <w:jc w:val="both"/>
        <w:outlineLvl w:val="3"/>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Soil Preparation</w:t>
      </w:r>
    </w:p>
    <w:p w14:paraId="6D8EA78D"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The soil preparation involved several steps to ensure optimal growing conditions. Initially, the field was plowed to a depth of 15-20 cm, followed by harrowing to break down soil clumps. The final step was leveling to ensure uniformity across the experimental plots.</w:t>
      </w:r>
    </w:p>
    <w:p w14:paraId="14BEBE91" w14:textId="77777777" w:rsidR="00A45FDD" w:rsidRPr="0040122E" w:rsidRDefault="00A45FDD" w:rsidP="0040122E">
      <w:pPr>
        <w:spacing w:before="100" w:beforeAutospacing="1" w:line="240" w:lineRule="auto"/>
        <w:jc w:val="both"/>
        <w:outlineLvl w:val="3"/>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Sowing Procedure</w:t>
      </w:r>
    </w:p>
    <w:p w14:paraId="74A17B57"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The sowing was performed using a precise single-row hand drill method to maintain consistent row spacing. The seeding rate was adjusted to ensure optimal plant density, enhancing the reliability of the growth and yield measurements.</w:t>
      </w:r>
    </w:p>
    <w:p w14:paraId="7205C16C" w14:textId="77777777" w:rsidR="00A45FDD" w:rsidRPr="0040122E" w:rsidRDefault="00A45FDD" w:rsidP="0040122E">
      <w:pPr>
        <w:spacing w:before="100" w:beforeAutospacing="1" w:line="240" w:lineRule="auto"/>
        <w:jc w:val="both"/>
        <w:outlineLvl w:val="3"/>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Nutrient Management</w:t>
      </w:r>
    </w:p>
    <w:p w14:paraId="61DA4026"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The application of a basal dose of phosphorus (P₂O₅) and potassium (K₂O) was done to meet the initial nutrient requirements of the wheat plants. The nitrogen application strategy, divided into three stages, aimed to match the nitrogen availability with the plant's growth stages, maximizing nutrient uptake efficiency and promoting healthy development.</w:t>
      </w:r>
    </w:p>
    <w:p w14:paraId="0CDBCBA6" w14:textId="77777777" w:rsidR="00A45FDD" w:rsidRPr="0040122E" w:rsidRDefault="00A45FDD" w:rsidP="0040122E">
      <w:pPr>
        <w:spacing w:before="100" w:beforeAutospacing="1" w:line="240" w:lineRule="auto"/>
        <w:jc w:val="both"/>
        <w:outlineLvl w:val="3"/>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Irrigation Management</w:t>
      </w:r>
    </w:p>
    <w:p w14:paraId="67204A9C"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Irrigation scheduling was based on the critical growth stages of wheat, ensuring adequate moisture availability. The timing and quantity of water applied were carefully monitored to avoid water stress and ensure uniform growth across all plots.</w:t>
      </w:r>
    </w:p>
    <w:p w14:paraId="5CDB426C" w14:textId="77777777" w:rsidR="00A45FDD" w:rsidRPr="0040122E" w:rsidRDefault="00A45FDD" w:rsidP="0040122E">
      <w:pPr>
        <w:spacing w:before="100" w:beforeAutospacing="1" w:line="240" w:lineRule="auto"/>
        <w:jc w:val="both"/>
        <w:outlineLvl w:val="3"/>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t>Pest and Weed Control</w:t>
      </w:r>
    </w:p>
    <w:p w14:paraId="62901DD2"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Integrated pest management practices were employed to control pests and diseases. Regular monitoring was conducted to identify and manage pest infestations promptly. Weed control was achieved through a combination of mechanical weeding and the application of pre-emergence herbicides.</w:t>
      </w:r>
    </w:p>
    <w:p w14:paraId="4DD4F368" w14:textId="77777777" w:rsidR="00A45FDD" w:rsidRPr="0040122E" w:rsidRDefault="00A45FDD" w:rsidP="0040122E">
      <w:pPr>
        <w:spacing w:before="100" w:beforeAutospacing="1" w:line="240" w:lineRule="auto"/>
        <w:jc w:val="both"/>
        <w:outlineLvl w:val="2"/>
        <w:rPr>
          <w:rFonts w:asciiTheme="majorBidi" w:eastAsia="Times New Roman" w:hAnsiTheme="majorBidi" w:cstheme="majorBidi"/>
          <w:b/>
          <w:bCs/>
          <w:sz w:val="24"/>
          <w:szCs w:val="24"/>
        </w:rPr>
      </w:pPr>
      <w:r w:rsidRPr="0040122E">
        <w:rPr>
          <w:rFonts w:asciiTheme="majorBidi" w:eastAsia="Times New Roman" w:hAnsiTheme="majorBidi" w:cstheme="majorBidi"/>
          <w:b/>
          <w:bCs/>
          <w:sz w:val="24"/>
          <w:szCs w:val="24"/>
        </w:rPr>
        <w:lastRenderedPageBreak/>
        <w:t>Statistical Analysis</w:t>
      </w:r>
    </w:p>
    <w:p w14:paraId="7D8AA8C1" w14:textId="77777777" w:rsidR="00A45FDD" w:rsidRPr="0040122E" w:rsidRDefault="00A45FDD"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The experimental data were analyzed using the "</w:t>
      </w:r>
      <w:proofErr w:type="spellStart"/>
      <w:r w:rsidRPr="0040122E">
        <w:rPr>
          <w:rFonts w:asciiTheme="majorBidi" w:eastAsia="Times New Roman" w:hAnsiTheme="majorBidi" w:cstheme="majorBidi"/>
          <w:sz w:val="24"/>
          <w:szCs w:val="24"/>
        </w:rPr>
        <w:t>Statistix</w:t>
      </w:r>
      <w:proofErr w:type="spellEnd"/>
      <w:r w:rsidRPr="0040122E">
        <w:rPr>
          <w:rFonts w:asciiTheme="majorBidi" w:eastAsia="Times New Roman" w:hAnsiTheme="majorBidi" w:cstheme="majorBidi"/>
          <w:sz w:val="24"/>
          <w:szCs w:val="24"/>
        </w:rPr>
        <w:t xml:space="preserve"> 8.1" software. Analysis of variance (ANOVA) was conducted to determine the significance of the treatments. The LSD test at a 5% probability level was used to compare the means of different treatments. This rigorous statistical approach ensured that the observed differences in growth and yield parameters were attributable to the varying nitrogen levels and not to random variation.</w:t>
      </w:r>
    </w:p>
    <w:p w14:paraId="4B78FB5C" w14:textId="77777777" w:rsidR="005B094E" w:rsidRPr="0040122E" w:rsidRDefault="0040122E" w:rsidP="0040122E">
      <w:pPr>
        <w:pStyle w:val="Heading4"/>
        <w:spacing w:after="160" w:afterAutospacing="0"/>
        <w:rPr>
          <w:rFonts w:asciiTheme="majorBidi" w:hAnsiTheme="majorBidi" w:cstheme="majorBidi"/>
          <w:sz w:val="28"/>
          <w:szCs w:val="28"/>
        </w:rPr>
      </w:pPr>
      <w:r w:rsidRPr="0040122E">
        <w:rPr>
          <w:rFonts w:asciiTheme="majorBidi" w:hAnsiTheme="majorBidi" w:cstheme="majorBidi"/>
          <w:sz w:val="28"/>
          <w:szCs w:val="28"/>
        </w:rPr>
        <w:t>RESULTS AND DISCUSSION</w:t>
      </w:r>
    </w:p>
    <w:p w14:paraId="7B4FCD03" w14:textId="77777777" w:rsidR="005B094E" w:rsidRPr="0040122E" w:rsidRDefault="005B094E" w:rsidP="0040122E">
      <w:pPr>
        <w:pStyle w:val="NormalWeb"/>
        <w:spacing w:after="160" w:afterAutospacing="0"/>
        <w:jc w:val="both"/>
        <w:rPr>
          <w:rFonts w:asciiTheme="majorBidi" w:hAnsiTheme="majorBidi" w:cstheme="majorBidi"/>
        </w:rPr>
      </w:pPr>
      <w:r w:rsidRPr="0040122E">
        <w:rPr>
          <w:rFonts w:asciiTheme="majorBidi" w:hAnsiTheme="majorBidi" w:cstheme="majorBidi"/>
        </w:rPr>
        <w:t xml:space="preserve">The primary objective of this study is to maximize wheat yields through genomic and ecological manipulations. Germination, a critical indicator of plant growth, plays a pivotal role in achieving this goal. This study focuses on the wheat cultivars </w:t>
      </w:r>
      <w:r w:rsidR="001B08CF" w:rsidRPr="0040122E">
        <w:rPr>
          <w:rFonts w:asciiTheme="majorBidi" w:hAnsiTheme="majorBidi" w:cstheme="majorBidi"/>
        </w:rPr>
        <w:t>Galaxy</w:t>
      </w:r>
      <w:r w:rsidRPr="0040122E">
        <w:rPr>
          <w:rFonts w:asciiTheme="majorBidi" w:hAnsiTheme="majorBidi" w:cstheme="majorBidi"/>
        </w:rPr>
        <w:t xml:space="preserve"> and AZRC-</w:t>
      </w:r>
      <w:proofErr w:type="spellStart"/>
      <w:r w:rsidRPr="0040122E">
        <w:rPr>
          <w:rFonts w:asciiTheme="majorBidi" w:hAnsiTheme="majorBidi" w:cstheme="majorBidi"/>
        </w:rPr>
        <w:t>Dera</w:t>
      </w:r>
      <w:proofErr w:type="spellEnd"/>
      <w:r w:rsidRPr="0040122E">
        <w:rPr>
          <w:rFonts w:asciiTheme="majorBidi" w:hAnsiTheme="majorBidi" w:cstheme="majorBidi"/>
        </w:rPr>
        <w:t>, evaluating their response to different nitrogen levels.</w:t>
      </w:r>
    </w:p>
    <w:p w14:paraId="3F78EF11" w14:textId="77777777" w:rsidR="005B094E" w:rsidRPr="0040122E" w:rsidRDefault="005B094E" w:rsidP="0040122E">
      <w:pPr>
        <w:pStyle w:val="Heading4"/>
        <w:spacing w:after="160" w:afterAutospacing="0"/>
        <w:jc w:val="both"/>
        <w:rPr>
          <w:rFonts w:asciiTheme="majorBidi" w:hAnsiTheme="majorBidi" w:cstheme="majorBidi"/>
        </w:rPr>
      </w:pPr>
      <w:r w:rsidRPr="0040122E">
        <w:rPr>
          <w:rFonts w:asciiTheme="majorBidi" w:hAnsiTheme="majorBidi" w:cstheme="majorBidi"/>
        </w:rPr>
        <w:t>Germination and Stand Establishment</w:t>
      </w:r>
    </w:p>
    <w:p w14:paraId="1D782623" w14:textId="77777777" w:rsidR="005B094E" w:rsidRPr="0040122E" w:rsidRDefault="005B094E" w:rsidP="0040122E">
      <w:pPr>
        <w:pStyle w:val="NormalWeb"/>
        <w:spacing w:after="160" w:afterAutospacing="0"/>
        <w:jc w:val="both"/>
        <w:rPr>
          <w:rFonts w:asciiTheme="majorBidi" w:hAnsiTheme="majorBidi" w:cstheme="majorBidi"/>
        </w:rPr>
      </w:pPr>
      <w:r w:rsidRPr="0040122E">
        <w:rPr>
          <w:rFonts w:asciiTheme="majorBidi" w:hAnsiTheme="majorBidi" w:cstheme="majorBidi"/>
        </w:rPr>
        <w:t>Cultivar AZRC-</w:t>
      </w:r>
      <w:proofErr w:type="spellStart"/>
      <w:r w:rsidRPr="0040122E">
        <w:rPr>
          <w:rFonts w:asciiTheme="majorBidi" w:hAnsiTheme="majorBidi" w:cstheme="majorBidi"/>
        </w:rPr>
        <w:t>Dera</w:t>
      </w:r>
      <w:proofErr w:type="spellEnd"/>
      <w:r w:rsidRPr="0040122E">
        <w:rPr>
          <w:rFonts w:asciiTheme="majorBidi" w:hAnsiTheme="majorBidi" w:cstheme="majorBidi"/>
        </w:rPr>
        <w:t xml:space="preserve"> exhibited significantly higher germination rates throughout the crop growth period, underscoring its genetic superiority. The observed differences in sprouting counts among the cultivars can be attributed to heritable variations. These findings are consistent with Ju </w:t>
      </w:r>
      <w:r w:rsidR="00771299" w:rsidRPr="0040122E">
        <w:rPr>
          <w:rFonts w:asciiTheme="majorBidi" w:hAnsiTheme="majorBidi" w:cstheme="majorBidi"/>
          <w:i/>
        </w:rPr>
        <w:t>et al</w:t>
      </w:r>
      <w:r w:rsidRPr="0040122E">
        <w:rPr>
          <w:rFonts w:asciiTheme="majorBidi" w:hAnsiTheme="majorBidi" w:cstheme="majorBidi"/>
        </w:rPr>
        <w:t xml:space="preserve">. </w:t>
      </w:r>
      <w:r w:rsidR="00B87A51" w:rsidRPr="0040122E">
        <w:rPr>
          <w:rFonts w:asciiTheme="majorBidi" w:hAnsiTheme="majorBidi" w:cstheme="majorBidi"/>
          <w:vertAlign w:val="superscript"/>
        </w:rPr>
        <w:t>7</w:t>
      </w:r>
      <w:r w:rsidRPr="0040122E">
        <w:rPr>
          <w:rFonts w:asciiTheme="majorBidi" w:hAnsiTheme="majorBidi" w:cstheme="majorBidi"/>
        </w:rPr>
        <w:t xml:space="preserve">, who highlighted the differential response of wheat varieties to nitrogen levels. Notably, nitrogen application at rates of </w:t>
      </w:r>
      <w:r w:rsidR="004A2045" w:rsidRPr="0040122E">
        <w:rPr>
          <w:rFonts w:asciiTheme="majorBidi" w:hAnsiTheme="majorBidi" w:cstheme="majorBidi"/>
        </w:rPr>
        <w:t>40, 80 and 120</w:t>
      </w:r>
      <w:r w:rsidRPr="0040122E">
        <w:rPr>
          <w:rFonts w:asciiTheme="majorBidi" w:hAnsiTheme="majorBidi" w:cstheme="majorBidi"/>
        </w:rPr>
        <w:t xml:space="preserve"> kg ha</w:t>
      </w:r>
      <w:r w:rsidR="004A2045" w:rsidRPr="0040122E">
        <w:rPr>
          <w:rFonts w:asciiTheme="majorBidi" w:hAnsiTheme="majorBidi" w:cstheme="majorBidi"/>
          <w:vertAlign w:val="superscript"/>
        </w:rPr>
        <w:t>-1</w:t>
      </w:r>
      <w:r w:rsidRPr="0040122E">
        <w:rPr>
          <w:rFonts w:asciiTheme="majorBidi" w:hAnsiTheme="majorBidi" w:cstheme="majorBidi"/>
        </w:rPr>
        <w:t xml:space="preserve"> resulted in significantly more plants compared to the </w:t>
      </w:r>
      <w:proofErr w:type="gramStart"/>
      <w:r w:rsidRPr="0040122E">
        <w:rPr>
          <w:rFonts w:asciiTheme="majorBidi" w:hAnsiTheme="majorBidi" w:cstheme="majorBidi"/>
        </w:rPr>
        <w:t>zero nitrogen</w:t>
      </w:r>
      <w:proofErr w:type="gramEnd"/>
      <w:r w:rsidRPr="0040122E">
        <w:rPr>
          <w:rFonts w:asciiTheme="majorBidi" w:hAnsiTheme="majorBidi" w:cstheme="majorBidi"/>
        </w:rPr>
        <w:t xml:space="preserve"> treatmen</w:t>
      </w:r>
      <w:r w:rsidR="004A2045" w:rsidRPr="0040122E">
        <w:rPr>
          <w:rFonts w:asciiTheme="majorBidi" w:hAnsiTheme="majorBidi" w:cstheme="majorBidi"/>
        </w:rPr>
        <w:t>t. The highest nitrogen rate (12</w:t>
      </w:r>
      <w:r w:rsidRPr="0040122E">
        <w:rPr>
          <w:rFonts w:asciiTheme="majorBidi" w:hAnsiTheme="majorBidi" w:cstheme="majorBidi"/>
        </w:rPr>
        <w:t>0 kg ha</w:t>
      </w:r>
      <w:r w:rsidR="004A2045" w:rsidRPr="0040122E">
        <w:rPr>
          <w:rFonts w:asciiTheme="majorBidi" w:hAnsiTheme="majorBidi" w:cstheme="majorBidi"/>
          <w:vertAlign w:val="superscript"/>
        </w:rPr>
        <w:t>-1</w:t>
      </w:r>
      <w:r w:rsidRPr="0040122E">
        <w:rPr>
          <w:rFonts w:asciiTheme="majorBidi" w:hAnsiTheme="majorBidi" w:cstheme="majorBidi"/>
        </w:rPr>
        <w:t>) consistently produced the greatest number of plants, indicating the positive impact of nitrogen on germination and early crop establishment.</w:t>
      </w:r>
    </w:p>
    <w:p w14:paraId="255BC0B8" w14:textId="77777777" w:rsidR="000C4EBF" w:rsidRPr="0040122E" w:rsidRDefault="000C4EBF" w:rsidP="0040122E">
      <w:pPr>
        <w:spacing w:line="240" w:lineRule="auto"/>
        <w:jc w:val="center"/>
        <w:rPr>
          <w:rFonts w:asciiTheme="majorBidi" w:hAnsiTheme="majorBidi" w:cstheme="majorBidi"/>
          <w:b/>
          <w:i/>
          <w:iCs/>
          <w:sz w:val="24"/>
          <w:szCs w:val="24"/>
        </w:rPr>
      </w:pPr>
      <w:r w:rsidRPr="0040122E">
        <w:rPr>
          <w:rFonts w:asciiTheme="majorBidi" w:hAnsiTheme="majorBidi" w:cstheme="majorBidi"/>
          <w:b/>
          <w:i/>
          <w:iCs/>
          <w:sz w:val="24"/>
          <w:szCs w:val="24"/>
        </w:rPr>
        <w:t xml:space="preserve">Table 1. </w:t>
      </w:r>
      <w:r w:rsidRPr="0040122E">
        <w:rPr>
          <w:rFonts w:asciiTheme="majorBidi" w:hAnsiTheme="majorBidi" w:cstheme="majorBidi"/>
          <w:bCs/>
          <w:i/>
          <w:iCs/>
          <w:sz w:val="24"/>
          <w:szCs w:val="24"/>
        </w:rPr>
        <w:t>Quantity of plants m</w:t>
      </w:r>
      <w:r w:rsidRPr="0040122E">
        <w:rPr>
          <w:rFonts w:asciiTheme="majorBidi" w:hAnsiTheme="majorBidi" w:cstheme="majorBidi"/>
          <w:bCs/>
          <w:i/>
          <w:iCs/>
          <w:sz w:val="24"/>
          <w:szCs w:val="24"/>
          <w:vertAlign w:val="superscript"/>
        </w:rPr>
        <w:t>-2</w:t>
      </w:r>
      <w:r w:rsidRPr="0040122E">
        <w:rPr>
          <w:rFonts w:asciiTheme="majorBidi" w:hAnsiTheme="majorBidi" w:cstheme="majorBidi"/>
          <w:bCs/>
          <w:i/>
          <w:iCs/>
          <w:sz w:val="24"/>
          <w:szCs w:val="24"/>
        </w:rPr>
        <w:t xml:space="preserve"> as influenced by the fertilization of N at various dates</w:t>
      </w:r>
    </w:p>
    <w:tbl>
      <w:tblPr>
        <w:tblStyle w:val="TableGrid"/>
        <w:tblW w:w="5000" w:type="pct"/>
        <w:tblLook w:val="04A0" w:firstRow="1" w:lastRow="0" w:firstColumn="1" w:lastColumn="0" w:noHBand="0" w:noVBand="1"/>
      </w:tblPr>
      <w:tblGrid>
        <w:gridCol w:w="1464"/>
        <w:gridCol w:w="1501"/>
        <w:gridCol w:w="1131"/>
        <w:gridCol w:w="1501"/>
        <w:gridCol w:w="1131"/>
        <w:gridCol w:w="1501"/>
        <w:gridCol w:w="1131"/>
      </w:tblGrid>
      <w:tr w:rsidR="000C4EBF" w:rsidRPr="0040122E" w14:paraId="618AB2B6" w14:textId="77777777" w:rsidTr="0012272A">
        <w:tc>
          <w:tcPr>
            <w:tcW w:w="782" w:type="pct"/>
            <w:tcBorders>
              <w:top w:val="single" w:sz="4" w:space="0" w:color="auto"/>
              <w:left w:val="nil"/>
              <w:bottom w:val="single" w:sz="4" w:space="0" w:color="auto"/>
              <w:right w:val="nil"/>
            </w:tcBorders>
          </w:tcPr>
          <w:p w14:paraId="4BFD0891"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Treatments</w:t>
            </w:r>
          </w:p>
        </w:tc>
        <w:tc>
          <w:tcPr>
            <w:tcW w:w="1406" w:type="pct"/>
            <w:gridSpan w:val="2"/>
            <w:tcBorders>
              <w:top w:val="single" w:sz="4" w:space="0" w:color="auto"/>
              <w:left w:val="nil"/>
              <w:bottom w:val="single" w:sz="4" w:space="0" w:color="auto"/>
              <w:right w:val="nil"/>
            </w:tcBorders>
          </w:tcPr>
          <w:p w14:paraId="453E8595" w14:textId="77777777" w:rsidR="000C4EBF" w:rsidRPr="0040122E" w:rsidRDefault="00D91A93" w:rsidP="0040122E">
            <w:pPr>
              <w:jc w:val="both"/>
              <w:rPr>
                <w:rFonts w:asciiTheme="majorBidi" w:hAnsiTheme="majorBidi" w:cstheme="majorBidi"/>
                <w:b/>
                <w:sz w:val="24"/>
                <w:szCs w:val="24"/>
              </w:rPr>
            </w:pPr>
            <w:r w:rsidRPr="0040122E">
              <w:rPr>
                <w:rFonts w:asciiTheme="majorBidi" w:hAnsiTheme="majorBidi" w:cstheme="majorBidi"/>
                <w:b/>
                <w:sz w:val="24"/>
                <w:szCs w:val="24"/>
              </w:rPr>
              <w:t>December 20</w:t>
            </w:r>
          </w:p>
        </w:tc>
        <w:tc>
          <w:tcPr>
            <w:tcW w:w="1406" w:type="pct"/>
            <w:gridSpan w:val="2"/>
            <w:tcBorders>
              <w:top w:val="single" w:sz="4" w:space="0" w:color="auto"/>
              <w:left w:val="nil"/>
              <w:bottom w:val="single" w:sz="4" w:space="0" w:color="auto"/>
              <w:right w:val="nil"/>
            </w:tcBorders>
          </w:tcPr>
          <w:p w14:paraId="0A9775FB"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 xml:space="preserve">January </w:t>
            </w:r>
            <w:r w:rsidR="00D91A93" w:rsidRPr="0040122E">
              <w:rPr>
                <w:rFonts w:asciiTheme="majorBidi" w:hAnsiTheme="majorBidi" w:cstheme="majorBidi"/>
                <w:b/>
                <w:sz w:val="24"/>
                <w:szCs w:val="24"/>
              </w:rPr>
              <w:t>3</w:t>
            </w:r>
            <w:r w:rsidRPr="0040122E">
              <w:rPr>
                <w:rFonts w:asciiTheme="majorBidi" w:hAnsiTheme="majorBidi" w:cstheme="majorBidi"/>
                <w:b/>
                <w:sz w:val="24"/>
                <w:szCs w:val="24"/>
              </w:rPr>
              <w:t>0</w:t>
            </w:r>
          </w:p>
        </w:tc>
        <w:tc>
          <w:tcPr>
            <w:tcW w:w="1406" w:type="pct"/>
            <w:gridSpan w:val="2"/>
            <w:tcBorders>
              <w:top w:val="single" w:sz="4" w:space="0" w:color="auto"/>
              <w:left w:val="nil"/>
              <w:bottom w:val="single" w:sz="4" w:space="0" w:color="auto"/>
              <w:right w:val="nil"/>
            </w:tcBorders>
          </w:tcPr>
          <w:p w14:paraId="6F95D148"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April 05</w:t>
            </w:r>
          </w:p>
        </w:tc>
      </w:tr>
      <w:tr w:rsidR="000C4EBF" w:rsidRPr="0040122E" w14:paraId="76D0BCCA" w14:textId="77777777" w:rsidTr="0012272A">
        <w:tc>
          <w:tcPr>
            <w:tcW w:w="782" w:type="pct"/>
            <w:tcBorders>
              <w:top w:val="single" w:sz="4" w:space="0" w:color="auto"/>
              <w:left w:val="nil"/>
              <w:bottom w:val="single" w:sz="4" w:space="0" w:color="auto"/>
              <w:right w:val="nil"/>
            </w:tcBorders>
          </w:tcPr>
          <w:p w14:paraId="20F6DE30"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N application</w:t>
            </w:r>
          </w:p>
          <w:p w14:paraId="39B6AAC2"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Kg ha</w:t>
            </w:r>
            <w:r w:rsidRPr="0040122E">
              <w:rPr>
                <w:rFonts w:asciiTheme="majorBidi" w:hAnsiTheme="majorBidi" w:cstheme="majorBidi"/>
                <w:b/>
                <w:sz w:val="24"/>
                <w:szCs w:val="24"/>
                <w:vertAlign w:val="superscript"/>
              </w:rPr>
              <w:t>-1</w:t>
            </w:r>
          </w:p>
        </w:tc>
        <w:tc>
          <w:tcPr>
            <w:tcW w:w="802" w:type="pct"/>
            <w:tcBorders>
              <w:top w:val="single" w:sz="4" w:space="0" w:color="auto"/>
              <w:left w:val="nil"/>
              <w:bottom w:val="single" w:sz="4" w:space="0" w:color="auto"/>
              <w:right w:val="nil"/>
            </w:tcBorders>
          </w:tcPr>
          <w:p w14:paraId="2FC1ADB8"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604" w:type="pct"/>
            <w:tcBorders>
              <w:top w:val="single" w:sz="4" w:space="0" w:color="auto"/>
              <w:left w:val="nil"/>
              <w:bottom w:val="single" w:sz="4" w:space="0" w:color="auto"/>
              <w:right w:val="nil"/>
            </w:tcBorders>
          </w:tcPr>
          <w:p w14:paraId="34322C22"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c>
          <w:tcPr>
            <w:tcW w:w="802" w:type="pct"/>
            <w:tcBorders>
              <w:top w:val="single" w:sz="4" w:space="0" w:color="auto"/>
              <w:left w:val="nil"/>
              <w:bottom w:val="single" w:sz="4" w:space="0" w:color="auto"/>
              <w:right w:val="nil"/>
            </w:tcBorders>
          </w:tcPr>
          <w:p w14:paraId="03D3E85A"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604" w:type="pct"/>
            <w:tcBorders>
              <w:top w:val="single" w:sz="4" w:space="0" w:color="auto"/>
              <w:left w:val="nil"/>
              <w:bottom w:val="single" w:sz="4" w:space="0" w:color="auto"/>
              <w:right w:val="nil"/>
            </w:tcBorders>
          </w:tcPr>
          <w:p w14:paraId="7385698F"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c>
          <w:tcPr>
            <w:tcW w:w="802" w:type="pct"/>
            <w:tcBorders>
              <w:top w:val="single" w:sz="4" w:space="0" w:color="auto"/>
              <w:left w:val="nil"/>
              <w:bottom w:val="single" w:sz="4" w:space="0" w:color="auto"/>
              <w:right w:val="nil"/>
            </w:tcBorders>
          </w:tcPr>
          <w:p w14:paraId="602F7AE0"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604" w:type="pct"/>
            <w:tcBorders>
              <w:top w:val="single" w:sz="4" w:space="0" w:color="auto"/>
              <w:left w:val="nil"/>
              <w:bottom w:val="single" w:sz="4" w:space="0" w:color="auto"/>
              <w:right w:val="nil"/>
            </w:tcBorders>
          </w:tcPr>
          <w:p w14:paraId="1889BAD2"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r>
      <w:tr w:rsidR="000C4EBF" w:rsidRPr="0040122E" w14:paraId="3AF09179" w14:textId="77777777" w:rsidTr="0012272A">
        <w:tc>
          <w:tcPr>
            <w:tcW w:w="782" w:type="pct"/>
            <w:tcBorders>
              <w:top w:val="single" w:sz="4" w:space="0" w:color="auto"/>
              <w:left w:val="nil"/>
              <w:bottom w:val="nil"/>
              <w:right w:val="nil"/>
            </w:tcBorders>
          </w:tcPr>
          <w:p w14:paraId="40E77B8E"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0</w:t>
            </w:r>
          </w:p>
        </w:tc>
        <w:tc>
          <w:tcPr>
            <w:tcW w:w="802" w:type="pct"/>
            <w:tcBorders>
              <w:top w:val="single" w:sz="4" w:space="0" w:color="auto"/>
              <w:left w:val="nil"/>
              <w:bottom w:val="nil"/>
              <w:right w:val="nil"/>
            </w:tcBorders>
          </w:tcPr>
          <w:p w14:paraId="0B7BDF44"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129.4 e</w:t>
            </w:r>
          </w:p>
        </w:tc>
        <w:tc>
          <w:tcPr>
            <w:tcW w:w="604" w:type="pct"/>
            <w:tcBorders>
              <w:top w:val="single" w:sz="4" w:space="0" w:color="auto"/>
              <w:left w:val="nil"/>
              <w:bottom w:val="nil"/>
              <w:right w:val="nil"/>
            </w:tcBorders>
          </w:tcPr>
          <w:p w14:paraId="2A30DDAA"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142.4 d</w:t>
            </w:r>
          </w:p>
        </w:tc>
        <w:tc>
          <w:tcPr>
            <w:tcW w:w="802" w:type="pct"/>
            <w:tcBorders>
              <w:top w:val="single" w:sz="4" w:space="0" w:color="auto"/>
              <w:left w:val="nil"/>
              <w:bottom w:val="nil"/>
              <w:right w:val="nil"/>
            </w:tcBorders>
          </w:tcPr>
          <w:p w14:paraId="2FB491CF"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143.4 f</w:t>
            </w:r>
          </w:p>
        </w:tc>
        <w:tc>
          <w:tcPr>
            <w:tcW w:w="604" w:type="pct"/>
            <w:tcBorders>
              <w:top w:val="single" w:sz="4" w:space="0" w:color="auto"/>
              <w:left w:val="nil"/>
              <w:bottom w:val="nil"/>
              <w:right w:val="nil"/>
            </w:tcBorders>
          </w:tcPr>
          <w:p w14:paraId="3D4A7DE1"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157.1 f</w:t>
            </w:r>
          </w:p>
        </w:tc>
        <w:tc>
          <w:tcPr>
            <w:tcW w:w="802" w:type="pct"/>
            <w:tcBorders>
              <w:top w:val="single" w:sz="4" w:space="0" w:color="auto"/>
              <w:left w:val="nil"/>
              <w:bottom w:val="nil"/>
              <w:right w:val="nil"/>
            </w:tcBorders>
          </w:tcPr>
          <w:p w14:paraId="6DCBE5BF"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166.2 d</w:t>
            </w:r>
          </w:p>
        </w:tc>
        <w:tc>
          <w:tcPr>
            <w:tcW w:w="604" w:type="pct"/>
            <w:tcBorders>
              <w:top w:val="single" w:sz="4" w:space="0" w:color="auto"/>
              <w:left w:val="nil"/>
              <w:bottom w:val="nil"/>
              <w:right w:val="nil"/>
            </w:tcBorders>
          </w:tcPr>
          <w:p w14:paraId="4239B564"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168.4 d</w:t>
            </w:r>
          </w:p>
        </w:tc>
      </w:tr>
      <w:tr w:rsidR="000C4EBF" w:rsidRPr="0040122E" w14:paraId="0644E5D6" w14:textId="77777777" w:rsidTr="0012272A">
        <w:tc>
          <w:tcPr>
            <w:tcW w:w="782" w:type="pct"/>
            <w:tcBorders>
              <w:top w:val="nil"/>
              <w:left w:val="nil"/>
              <w:bottom w:val="nil"/>
              <w:right w:val="nil"/>
            </w:tcBorders>
          </w:tcPr>
          <w:p w14:paraId="3A09A81F"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40</w:t>
            </w:r>
          </w:p>
        </w:tc>
        <w:tc>
          <w:tcPr>
            <w:tcW w:w="802" w:type="pct"/>
            <w:tcBorders>
              <w:top w:val="nil"/>
              <w:left w:val="nil"/>
              <w:bottom w:val="nil"/>
              <w:right w:val="nil"/>
            </w:tcBorders>
          </w:tcPr>
          <w:p w14:paraId="1F838CF3"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 xml:space="preserve">175.3 </w:t>
            </w:r>
            <w:proofErr w:type="spellStart"/>
            <w:r w:rsidRPr="0040122E">
              <w:rPr>
                <w:rFonts w:asciiTheme="majorBidi" w:hAnsiTheme="majorBidi" w:cstheme="majorBidi"/>
                <w:sz w:val="24"/>
                <w:szCs w:val="24"/>
              </w:rPr>
              <w:t>bc</w:t>
            </w:r>
            <w:proofErr w:type="spellEnd"/>
          </w:p>
        </w:tc>
        <w:tc>
          <w:tcPr>
            <w:tcW w:w="604" w:type="pct"/>
            <w:tcBorders>
              <w:top w:val="nil"/>
              <w:left w:val="nil"/>
              <w:bottom w:val="nil"/>
              <w:right w:val="nil"/>
            </w:tcBorders>
          </w:tcPr>
          <w:p w14:paraId="14C2F808"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181.4 b</w:t>
            </w:r>
          </w:p>
        </w:tc>
        <w:tc>
          <w:tcPr>
            <w:tcW w:w="802" w:type="pct"/>
            <w:tcBorders>
              <w:top w:val="nil"/>
              <w:left w:val="nil"/>
              <w:bottom w:val="nil"/>
              <w:right w:val="nil"/>
            </w:tcBorders>
          </w:tcPr>
          <w:p w14:paraId="16B215C3"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178.9 e</w:t>
            </w:r>
          </w:p>
        </w:tc>
        <w:tc>
          <w:tcPr>
            <w:tcW w:w="604" w:type="pct"/>
            <w:tcBorders>
              <w:top w:val="nil"/>
              <w:left w:val="nil"/>
              <w:bottom w:val="nil"/>
              <w:right w:val="nil"/>
            </w:tcBorders>
          </w:tcPr>
          <w:p w14:paraId="48F99EEC"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194.3 d</w:t>
            </w:r>
          </w:p>
        </w:tc>
        <w:tc>
          <w:tcPr>
            <w:tcW w:w="802" w:type="pct"/>
            <w:tcBorders>
              <w:top w:val="nil"/>
              <w:left w:val="nil"/>
              <w:bottom w:val="nil"/>
              <w:right w:val="nil"/>
            </w:tcBorders>
          </w:tcPr>
          <w:p w14:paraId="2B52AFB5"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265.1 b</w:t>
            </w:r>
          </w:p>
        </w:tc>
        <w:tc>
          <w:tcPr>
            <w:tcW w:w="604" w:type="pct"/>
            <w:tcBorders>
              <w:top w:val="nil"/>
              <w:left w:val="nil"/>
              <w:bottom w:val="nil"/>
              <w:right w:val="nil"/>
            </w:tcBorders>
          </w:tcPr>
          <w:p w14:paraId="1E2B82C8"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271.3 b</w:t>
            </w:r>
          </w:p>
        </w:tc>
      </w:tr>
      <w:tr w:rsidR="000C4EBF" w:rsidRPr="0040122E" w14:paraId="7E5B951F" w14:textId="77777777" w:rsidTr="0012272A">
        <w:tc>
          <w:tcPr>
            <w:tcW w:w="782" w:type="pct"/>
            <w:tcBorders>
              <w:top w:val="nil"/>
              <w:left w:val="nil"/>
              <w:bottom w:val="nil"/>
              <w:right w:val="nil"/>
            </w:tcBorders>
          </w:tcPr>
          <w:p w14:paraId="1C31F88B"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80</w:t>
            </w:r>
          </w:p>
        </w:tc>
        <w:tc>
          <w:tcPr>
            <w:tcW w:w="802" w:type="pct"/>
            <w:tcBorders>
              <w:top w:val="nil"/>
              <w:left w:val="nil"/>
              <w:bottom w:val="nil"/>
              <w:right w:val="nil"/>
            </w:tcBorders>
          </w:tcPr>
          <w:p w14:paraId="4418B002"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166.5 c</w:t>
            </w:r>
          </w:p>
        </w:tc>
        <w:tc>
          <w:tcPr>
            <w:tcW w:w="604" w:type="pct"/>
            <w:tcBorders>
              <w:top w:val="nil"/>
              <w:left w:val="nil"/>
              <w:bottom w:val="nil"/>
              <w:right w:val="nil"/>
            </w:tcBorders>
          </w:tcPr>
          <w:p w14:paraId="02250975"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155.3 c</w:t>
            </w:r>
          </w:p>
        </w:tc>
        <w:tc>
          <w:tcPr>
            <w:tcW w:w="802" w:type="pct"/>
            <w:tcBorders>
              <w:top w:val="nil"/>
              <w:left w:val="nil"/>
              <w:bottom w:val="nil"/>
              <w:right w:val="nil"/>
            </w:tcBorders>
          </w:tcPr>
          <w:p w14:paraId="61E880FA"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231.3 c</w:t>
            </w:r>
          </w:p>
        </w:tc>
        <w:tc>
          <w:tcPr>
            <w:tcW w:w="604" w:type="pct"/>
            <w:tcBorders>
              <w:top w:val="nil"/>
              <w:left w:val="nil"/>
              <w:bottom w:val="nil"/>
              <w:right w:val="nil"/>
            </w:tcBorders>
          </w:tcPr>
          <w:p w14:paraId="2FA8EEDC"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249.7 b</w:t>
            </w:r>
          </w:p>
        </w:tc>
        <w:tc>
          <w:tcPr>
            <w:tcW w:w="802" w:type="pct"/>
            <w:tcBorders>
              <w:top w:val="nil"/>
              <w:left w:val="nil"/>
              <w:bottom w:val="nil"/>
              <w:right w:val="nil"/>
            </w:tcBorders>
          </w:tcPr>
          <w:p w14:paraId="7EE037F3"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248.3 c</w:t>
            </w:r>
          </w:p>
        </w:tc>
        <w:tc>
          <w:tcPr>
            <w:tcW w:w="604" w:type="pct"/>
            <w:tcBorders>
              <w:top w:val="nil"/>
              <w:left w:val="nil"/>
              <w:bottom w:val="nil"/>
              <w:right w:val="nil"/>
            </w:tcBorders>
          </w:tcPr>
          <w:p w14:paraId="7ACF50CC"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291.0 a</w:t>
            </w:r>
          </w:p>
        </w:tc>
      </w:tr>
      <w:tr w:rsidR="000C4EBF" w:rsidRPr="0040122E" w14:paraId="5AB5C965" w14:textId="77777777" w:rsidTr="0012272A">
        <w:tc>
          <w:tcPr>
            <w:tcW w:w="782" w:type="pct"/>
            <w:tcBorders>
              <w:top w:val="nil"/>
              <w:left w:val="nil"/>
              <w:bottom w:val="single" w:sz="4" w:space="0" w:color="auto"/>
              <w:right w:val="nil"/>
            </w:tcBorders>
          </w:tcPr>
          <w:p w14:paraId="1A74BF93"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120</w:t>
            </w:r>
          </w:p>
        </w:tc>
        <w:tc>
          <w:tcPr>
            <w:tcW w:w="802" w:type="pct"/>
            <w:tcBorders>
              <w:top w:val="nil"/>
              <w:left w:val="nil"/>
              <w:bottom w:val="single" w:sz="4" w:space="0" w:color="auto"/>
              <w:right w:val="nil"/>
            </w:tcBorders>
          </w:tcPr>
          <w:p w14:paraId="0BE620E1"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194.1 a</w:t>
            </w:r>
          </w:p>
        </w:tc>
        <w:tc>
          <w:tcPr>
            <w:tcW w:w="604" w:type="pct"/>
            <w:tcBorders>
              <w:top w:val="nil"/>
              <w:left w:val="nil"/>
              <w:bottom w:val="single" w:sz="4" w:space="0" w:color="auto"/>
              <w:right w:val="nil"/>
            </w:tcBorders>
          </w:tcPr>
          <w:p w14:paraId="16880D3D"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204.2 a</w:t>
            </w:r>
          </w:p>
        </w:tc>
        <w:tc>
          <w:tcPr>
            <w:tcW w:w="802" w:type="pct"/>
            <w:tcBorders>
              <w:top w:val="nil"/>
              <w:left w:val="nil"/>
              <w:bottom w:val="single" w:sz="4" w:space="0" w:color="auto"/>
              <w:right w:val="nil"/>
            </w:tcBorders>
          </w:tcPr>
          <w:p w14:paraId="7C70AB28"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256.1 b</w:t>
            </w:r>
          </w:p>
        </w:tc>
        <w:tc>
          <w:tcPr>
            <w:tcW w:w="604" w:type="pct"/>
            <w:tcBorders>
              <w:top w:val="nil"/>
              <w:left w:val="nil"/>
              <w:bottom w:val="single" w:sz="4" w:space="0" w:color="auto"/>
              <w:right w:val="nil"/>
            </w:tcBorders>
          </w:tcPr>
          <w:p w14:paraId="0963211C"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274.2 a</w:t>
            </w:r>
          </w:p>
        </w:tc>
        <w:tc>
          <w:tcPr>
            <w:tcW w:w="802" w:type="pct"/>
            <w:tcBorders>
              <w:top w:val="nil"/>
              <w:left w:val="nil"/>
              <w:bottom w:val="single" w:sz="4" w:space="0" w:color="auto"/>
              <w:right w:val="nil"/>
            </w:tcBorders>
          </w:tcPr>
          <w:p w14:paraId="3AF9E126"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 xml:space="preserve">257.1 </w:t>
            </w:r>
            <w:proofErr w:type="spellStart"/>
            <w:r w:rsidRPr="0040122E">
              <w:rPr>
                <w:rFonts w:asciiTheme="majorBidi" w:hAnsiTheme="majorBidi" w:cstheme="majorBidi"/>
                <w:sz w:val="24"/>
                <w:szCs w:val="24"/>
              </w:rPr>
              <w:t>bc</w:t>
            </w:r>
            <w:proofErr w:type="spellEnd"/>
          </w:p>
        </w:tc>
        <w:tc>
          <w:tcPr>
            <w:tcW w:w="604" w:type="pct"/>
            <w:tcBorders>
              <w:top w:val="nil"/>
              <w:left w:val="nil"/>
              <w:bottom w:val="single" w:sz="4" w:space="0" w:color="auto"/>
              <w:right w:val="nil"/>
            </w:tcBorders>
          </w:tcPr>
          <w:p w14:paraId="1F3F4E91"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305.9 a</w:t>
            </w:r>
          </w:p>
        </w:tc>
      </w:tr>
      <w:tr w:rsidR="000C4EBF" w:rsidRPr="0040122E" w14:paraId="59277C8F" w14:textId="77777777" w:rsidTr="0012272A">
        <w:tc>
          <w:tcPr>
            <w:tcW w:w="782" w:type="pct"/>
            <w:tcBorders>
              <w:top w:val="single" w:sz="4" w:space="0" w:color="auto"/>
              <w:left w:val="nil"/>
              <w:bottom w:val="single" w:sz="4" w:space="0" w:color="auto"/>
              <w:right w:val="nil"/>
            </w:tcBorders>
          </w:tcPr>
          <w:p w14:paraId="0AFC14CA"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LSD</w:t>
            </w:r>
          </w:p>
        </w:tc>
        <w:tc>
          <w:tcPr>
            <w:tcW w:w="1406" w:type="pct"/>
            <w:gridSpan w:val="2"/>
            <w:tcBorders>
              <w:top w:val="single" w:sz="4" w:space="0" w:color="auto"/>
              <w:left w:val="nil"/>
              <w:bottom w:val="single" w:sz="4" w:space="0" w:color="auto"/>
              <w:right w:val="nil"/>
            </w:tcBorders>
            <w:vAlign w:val="center"/>
          </w:tcPr>
          <w:p w14:paraId="03B64ED8"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13.94</w:t>
            </w:r>
          </w:p>
        </w:tc>
        <w:tc>
          <w:tcPr>
            <w:tcW w:w="1406" w:type="pct"/>
            <w:gridSpan w:val="2"/>
            <w:tcBorders>
              <w:top w:val="single" w:sz="4" w:space="0" w:color="auto"/>
              <w:left w:val="nil"/>
              <w:bottom w:val="single" w:sz="4" w:space="0" w:color="auto"/>
              <w:right w:val="nil"/>
            </w:tcBorders>
            <w:vAlign w:val="center"/>
          </w:tcPr>
          <w:p w14:paraId="03FB768F"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13.98</w:t>
            </w:r>
          </w:p>
        </w:tc>
        <w:tc>
          <w:tcPr>
            <w:tcW w:w="1406" w:type="pct"/>
            <w:gridSpan w:val="2"/>
            <w:tcBorders>
              <w:top w:val="single" w:sz="4" w:space="0" w:color="auto"/>
              <w:left w:val="nil"/>
              <w:bottom w:val="single" w:sz="4" w:space="0" w:color="auto"/>
              <w:right w:val="nil"/>
            </w:tcBorders>
            <w:vAlign w:val="center"/>
          </w:tcPr>
          <w:p w14:paraId="6100075E"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15.11</w:t>
            </w:r>
          </w:p>
        </w:tc>
      </w:tr>
    </w:tbl>
    <w:p w14:paraId="5AE26ADD" w14:textId="77777777" w:rsidR="005B094E" w:rsidRPr="0040122E" w:rsidRDefault="005B094E" w:rsidP="0040122E">
      <w:pPr>
        <w:pStyle w:val="Heading4"/>
        <w:spacing w:after="160" w:afterAutospacing="0"/>
        <w:jc w:val="both"/>
        <w:rPr>
          <w:rFonts w:asciiTheme="majorBidi" w:hAnsiTheme="majorBidi" w:cstheme="majorBidi"/>
        </w:rPr>
      </w:pPr>
      <w:r w:rsidRPr="0040122E">
        <w:rPr>
          <w:rFonts w:asciiTheme="majorBidi" w:hAnsiTheme="majorBidi" w:cstheme="majorBidi"/>
        </w:rPr>
        <w:t>Tiller Production and Fertile Tillers</w:t>
      </w:r>
    </w:p>
    <w:p w14:paraId="3B2A9639" w14:textId="77777777" w:rsidR="005B094E" w:rsidRPr="0040122E" w:rsidRDefault="005B094E" w:rsidP="0040122E">
      <w:pPr>
        <w:pStyle w:val="NormalWeb"/>
        <w:spacing w:after="160" w:afterAutospacing="0"/>
        <w:jc w:val="both"/>
        <w:rPr>
          <w:rFonts w:asciiTheme="majorBidi" w:hAnsiTheme="majorBidi" w:cstheme="majorBidi"/>
        </w:rPr>
      </w:pPr>
      <w:r w:rsidRPr="0040122E">
        <w:rPr>
          <w:rFonts w:asciiTheme="majorBidi" w:hAnsiTheme="majorBidi" w:cstheme="majorBidi"/>
        </w:rPr>
        <w:t>Tiller production, a key determinant of stand density, is influenced by both genetic factors and external environmental conditions. Cultivar AZRC-</w:t>
      </w:r>
      <w:proofErr w:type="spellStart"/>
      <w:r w:rsidRPr="0040122E">
        <w:rPr>
          <w:rFonts w:asciiTheme="majorBidi" w:hAnsiTheme="majorBidi" w:cstheme="majorBidi"/>
        </w:rPr>
        <w:t>Dera</w:t>
      </w:r>
      <w:proofErr w:type="spellEnd"/>
      <w:r w:rsidRPr="0040122E">
        <w:rPr>
          <w:rFonts w:asciiTheme="majorBidi" w:hAnsiTheme="majorBidi" w:cstheme="majorBidi"/>
        </w:rPr>
        <w:t xml:space="preserve"> demonstrated a superior ability to produce tillers throughout the crop growth period compared to </w:t>
      </w:r>
      <w:r w:rsidR="001B08CF" w:rsidRPr="0040122E">
        <w:rPr>
          <w:rFonts w:asciiTheme="majorBidi" w:hAnsiTheme="majorBidi" w:cstheme="majorBidi"/>
        </w:rPr>
        <w:t>Galaxy</w:t>
      </w:r>
      <w:r w:rsidRPr="0040122E">
        <w:rPr>
          <w:rFonts w:asciiTheme="majorBidi" w:hAnsiTheme="majorBidi" w:cstheme="majorBidi"/>
        </w:rPr>
        <w:t xml:space="preserve"> (</w:t>
      </w:r>
      <w:r w:rsidR="001A2B04" w:rsidRPr="0040122E">
        <w:rPr>
          <w:rFonts w:asciiTheme="majorBidi" w:hAnsiTheme="majorBidi" w:cstheme="majorBidi"/>
        </w:rPr>
        <w:t>P &lt; 0.01</w:t>
      </w:r>
      <w:r w:rsidRPr="0040122E">
        <w:rPr>
          <w:rFonts w:asciiTheme="majorBidi" w:hAnsiTheme="majorBidi" w:cstheme="majorBidi"/>
        </w:rPr>
        <w:t xml:space="preserve">). Nitrogen application significantly influenced tiller production, with higher rates resulting in an increased number of </w:t>
      </w:r>
      <w:r w:rsidR="001B08CF" w:rsidRPr="0040122E">
        <w:rPr>
          <w:rFonts w:asciiTheme="majorBidi" w:hAnsiTheme="majorBidi" w:cstheme="majorBidi"/>
        </w:rPr>
        <w:t>tillers. The nitrogen rate of 12</w:t>
      </w:r>
      <w:r w:rsidRPr="0040122E">
        <w:rPr>
          <w:rFonts w:asciiTheme="majorBidi" w:hAnsiTheme="majorBidi" w:cstheme="majorBidi"/>
        </w:rPr>
        <w:t>0 kg ha</w:t>
      </w:r>
      <w:r w:rsidR="004A2045" w:rsidRPr="0040122E">
        <w:rPr>
          <w:rFonts w:asciiTheme="majorBidi" w:hAnsiTheme="majorBidi" w:cstheme="majorBidi"/>
          <w:vertAlign w:val="superscript"/>
        </w:rPr>
        <w:t>-1</w:t>
      </w:r>
      <w:r w:rsidRPr="0040122E">
        <w:rPr>
          <w:rFonts w:asciiTheme="majorBidi" w:hAnsiTheme="majorBidi" w:cstheme="majorBidi"/>
        </w:rPr>
        <w:t xml:space="preserve"> resulted in the highest tiller count, further supporting the positive correlation between nitrogen application and tiller development </w:t>
      </w:r>
      <w:r w:rsidR="00B87A51" w:rsidRPr="0040122E">
        <w:rPr>
          <w:rFonts w:asciiTheme="majorBidi" w:hAnsiTheme="majorBidi" w:cstheme="majorBidi"/>
          <w:vertAlign w:val="superscript"/>
        </w:rPr>
        <w:t>8</w:t>
      </w:r>
      <w:r w:rsidR="00CD646D" w:rsidRPr="0040122E">
        <w:rPr>
          <w:rFonts w:asciiTheme="majorBidi" w:hAnsiTheme="majorBidi" w:cstheme="majorBidi"/>
          <w:vertAlign w:val="superscript"/>
        </w:rPr>
        <w:t>,9</w:t>
      </w:r>
      <w:r w:rsidRPr="0040122E">
        <w:rPr>
          <w:rFonts w:asciiTheme="majorBidi" w:hAnsiTheme="majorBidi" w:cstheme="majorBidi"/>
        </w:rPr>
        <w:t>. Fertile tillers, which are crucial for grain yield, were significantly more abundant in AZRC-</w:t>
      </w:r>
      <w:proofErr w:type="spellStart"/>
      <w:r w:rsidRPr="0040122E">
        <w:rPr>
          <w:rFonts w:asciiTheme="majorBidi" w:hAnsiTheme="majorBidi" w:cstheme="majorBidi"/>
        </w:rPr>
        <w:t>Dera</w:t>
      </w:r>
      <w:proofErr w:type="spellEnd"/>
      <w:r w:rsidRPr="0040122E">
        <w:rPr>
          <w:rFonts w:asciiTheme="majorBidi" w:hAnsiTheme="majorBidi" w:cstheme="majorBidi"/>
        </w:rPr>
        <w:t xml:space="preserve"> than in </w:t>
      </w:r>
      <w:r w:rsidR="001B08CF" w:rsidRPr="0040122E">
        <w:rPr>
          <w:rFonts w:asciiTheme="majorBidi" w:hAnsiTheme="majorBidi" w:cstheme="majorBidi"/>
        </w:rPr>
        <w:lastRenderedPageBreak/>
        <w:t>Galaxy</w:t>
      </w:r>
      <w:r w:rsidRPr="0040122E">
        <w:rPr>
          <w:rFonts w:asciiTheme="majorBidi" w:hAnsiTheme="majorBidi" w:cstheme="majorBidi"/>
        </w:rPr>
        <w:t xml:space="preserve"> (</w:t>
      </w:r>
      <w:r w:rsidR="001A2B04" w:rsidRPr="0040122E">
        <w:rPr>
          <w:rFonts w:asciiTheme="majorBidi" w:hAnsiTheme="majorBidi" w:cstheme="majorBidi"/>
        </w:rPr>
        <w:t>P &lt; 0.01</w:t>
      </w:r>
      <w:r w:rsidRPr="0040122E">
        <w:rPr>
          <w:rFonts w:asciiTheme="majorBidi" w:hAnsiTheme="majorBidi" w:cstheme="majorBidi"/>
        </w:rPr>
        <w:t xml:space="preserve">). Nitrogen application, particularly at rates of </w:t>
      </w:r>
      <w:r w:rsidR="004A2045" w:rsidRPr="0040122E">
        <w:rPr>
          <w:rFonts w:asciiTheme="majorBidi" w:hAnsiTheme="majorBidi" w:cstheme="majorBidi"/>
        </w:rPr>
        <w:t>40, 80 and 120</w:t>
      </w:r>
      <w:r w:rsidRPr="0040122E">
        <w:rPr>
          <w:rFonts w:asciiTheme="majorBidi" w:hAnsiTheme="majorBidi" w:cstheme="majorBidi"/>
        </w:rPr>
        <w:t xml:space="preserve"> kg ha</w:t>
      </w:r>
      <w:r w:rsidR="004A2045" w:rsidRPr="0040122E">
        <w:rPr>
          <w:rFonts w:asciiTheme="majorBidi" w:hAnsiTheme="majorBidi" w:cstheme="majorBidi"/>
          <w:vertAlign w:val="superscript"/>
        </w:rPr>
        <w:t>-1</w:t>
      </w:r>
      <w:r w:rsidRPr="0040122E">
        <w:rPr>
          <w:rFonts w:asciiTheme="majorBidi" w:hAnsiTheme="majorBidi" w:cstheme="majorBidi"/>
        </w:rPr>
        <w:t>, significantly increased the number of fertile tiller</w:t>
      </w:r>
      <w:r w:rsidR="004A2045" w:rsidRPr="0040122E">
        <w:rPr>
          <w:rFonts w:asciiTheme="majorBidi" w:hAnsiTheme="majorBidi" w:cstheme="majorBidi"/>
        </w:rPr>
        <w:t>s. The highest nitrogen rate (12</w:t>
      </w:r>
      <w:r w:rsidRPr="0040122E">
        <w:rPr>
          <w:rFonts w:asciiTheme="majorBidi" w:hAnsiTheme="majorBidi" w:cstheme="majorBidi"/>
        </w:rPr>
        <w:t>0 kg ha</w:t>
      </w:r>
      <w:r w:rsidR="004A2045" w:rsidRPr="0040122E">
        <w:rPr>
          <w:rFonts w:asciiTheme="majorBidi" w:hAnsiTheme="majorBidi" w:cstheme="majorBidi"/>
          <w:vertAlign w:val="superscript"/>
        </w:rPr>
        <w:t>-1</w:t>
      </w:r>
      <w:r w:rsidRPr="0040122E">
        <w:rPr>
          <w:rFonts w:asciiTheme="majorBidi" w:hAnsiTheme="majorBidi" w:cstheme="majorBidi"/>
        </w:rPr>
        <w:t>) resulted in the maximum number of fertile tillers, indicating a positive impact on reproductive potential.</w:t>
      </w:r>
    </w:p>
    <w:p w14:paraId="6BD1DECC" w14:textId="77777777" w:rsidR="000C4EBF" w:rsidRPr="0040122E" w:rsidRDefault="000C4EBF" w:rsidP="0040122E">
      <w:pPr>
        <w:spacing w:line="240" w:lineRule="auto"/>
        <w:jc w:val="center"/>
        <w:rPr>
          <w:rFonts w:asciiTheme="majorBidi" w:hAnsiTheme="majorBidi" w:cstheme="majorBidi"/>
          <w:sz w:val="24"/>
          <w:szCs w:val="24"/>
        </w:rPr>
      </w:pPr>
      <w:r w:rsidRPr="0040122E">
        <w:rPr>
          <w:rFonts w:asciiTheme="majorBidi" w:hAnsiTheme="majorBidi" w:cstheme="majorBidi"/>
          <w:b/>
          <w:i/>
          <w:iCs/>
          <w:sz w:val="24"/>
          <w:szCs w:val="24"/>
        </w:rPr>
        <w:t>Table 2.</w:t>
      </w:r>
      <w:r w:rsidRPr="0040122E">
        <w:rPr>
          <w:rFonts w:asciiTheme="majorBidi" w:hAnsiTheme="majorBidi" w:cstheme="majorBidi"/>
          <w:b/>
          <w:sz w:val="24"/>
          <w:szCs w:val="24"/>
        </w:rPr>
        <w:t xml:space="preserve"> </w:t>
      </w:r>
      <w:r w:rsidRPr="0040122E">
        <w:rPr>
          <w:rFonts w:asciiTheme="majorBidi" w:hAnsiTheme="majorBidi" w:cstheme="majorBidi"/>
          <w:bCs/>
          <w:i/>
          <w:iCs/>
          <w:sz w:val="24"/>
          <w:szCs w:val="24"/>
        </w:rPr>
        <w:t>Number of tillers and fertile tillers m</w:t>
      </w:r>
      <w:r w:rsidRPr="0040122E">
        <w:rPr>
          <w:rFonts w:asciiTheme="majorBidi" w:hAnsiTheme="majorBidi" w:cstheme="majorBidi"/>
          <w:bCs/>
          <w:i/>
          <w:iCs/>
          <w:sz w:val="24"/>
          <w:szCs w:val="24"/>
          <w:vertAlign w:val="superscript"/>
        </w:rPr>
        <w:t>-2</w:t>
      </w:r>
      <w:r w:rsidRPr="0040122E">
        <w:rPr>
          <w:rFonts w:asciiTheme="majorBidi" w:hAnsiTheme="majorBidi" w:cstheme="majorBidi"/>
          <w:bCs/>
          <w:i/>
          <w:iCs/>
          <w:sz w:val="24"/>
          <w:szCs w:val="24"/>
        </w:rPr>
        <w:t xml:space="preserve"> as influenced by the application of nitrogen at various rates</w:t>
      </w:r>
    </w:p>
    <w:tbl>
      <w:tblPr>
        <w:tblStyle w:val="TableGrid"/>
        <w:tblW w:w="5000" w:type="pct"/>
        <w:tblLook w:val="04A0" w:firstRow="1" w:lastRow="0" w:firstColumn="1" w:lastColumn="0" w:noHBand="0" w:noVBand="1"/>
      </w:tblPr>
      <w:tblGrid>
        <w:gridCol w:w="1960"/>
        <w:gridCol w:w="1866"/>
        <w:gridCol w:w="1835"/>
        <w:gridCol w:w="1866"/>
        <w:gridCol w:w="1833"/>
      </w:tblGrid>
      <w:tr w:rsidR="000C4EBF" w:rsidRPr="0040122E" w14:paraId="04ED666B" w14:textId="77777777" w:rsidTr="0012272A">
        <w:tc>
          <w:tcPr>
            <w:tcW w:w="1047" w:type="pct"/>
            <w:tcBorders>
              <w:top w:val="single" w:sz="4" w:space="0" w:color="auto"/>
              <w:left w:val="nil"/>
              <w:bottom w:val="single" w:sz="4" w:space="0" w:color="auto"/>
              <w:right w:val="nil"/>
            </w:tcBorders>
          </w:tcPr>
          <w:p w14:paraId="6D5D2CFF"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Treatments</w:t>
            </w:r>
          </w:p>
        </w:tc>
        <w:tc>
          <w:tcPr>
            <w:tcW w:w="1977" w:type="pct"/>
            <w:gridSpan w:val="2"/>
            <w:tcBorders>
              <w:top w:val="single" w:sz="4" w:space="0" w:color="auto"/>
              <w:left w:val="nil"/>
              <w:bottom w:val="single" w:sz="4" w:space="0" w:color="auto"/>
              <w:right w:val="nil"/>
            </w:tcBorders>
          </w:tcPr>
          <w:p w14:paraId="2A941A44"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No. of Tillers (m</w:t>
            </w:r>
            <w:r w:rsidRPr="0040122E">
              <w:rPr>
                <w:rFonts w:asciiTheme="majorBidi" w:hAnsiTheme="majorBidi" w:cstheme="majorBidi"/>
                <w:b/>
                <w:sz w:val="24"/>
                <w:szCs w:val="24"/>
                <w:vertAlign w:val="superscript"/>
              </w:rPr>
              <w:t>-2</w:t>
            </w:r>
            <w:r w:rsidRPr="0040122E">
              <w:rPr>
                <w:rFonts w:asciiTheme="majorBidi" w:hAnsiTheme="majorBidi" w:cstheme="majorBidi"/>
                <w:b/>
                <w:sz w:val="24"/>
                <w:szCs w:val="24"/>
              </w:rPr>
              <w:t>)</w:t>
            </w:r>
          </w:p>
        </w:tc>
        <w:tc>
          <w:tcPr>
            <w:tcW w:w="1976" w:type="pct"/>
            <w:gridSpan w:val="2"/>
            <w:tcBorders>
              <w:top w:val="single" w:sz="4" w:space="0" w:color="auto"/>
              <w:left w:val="nil"/>
              <w:bottom w:val="single" w:sz="4" w:space="0" w:color="auto"/>
              <w:right w:val="nil"/>
            </w:tcBorders>
          </w:tcPr>
          <w:p w14:paraId="0EC05E46"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No. of Fertile Tillers (m</w:t>
            </w:r>
            <w:r w:rsidRPr="0040122E">
              <w:rPr>
                <w:rFonts w:asciiTheme="majorBidi" w:hAnsiTheme="majorBidi" w:cstheme="majorBidi"/>
                <w:b/>
                <w:sz w:val="24"/>
                <w:szCs w:val="24"/>
                <w:vertAlign w:val="superscript"/>
              </w:rPr>
              <w:t>-2</w:t>
            </w:r>
            <w:r w:rsidRPr="0040122E">
              <w:rPr>
                <w:rFonts w:asciiTheme="majorBidi" w:hAnsiTheme="majorBidi" w:cstheme="majorBidi"/>
                <w:b/>
                <w:sz w:val="24"/>
                <w:szCs w:val="24"/>
              </w:rPr>
              <w:t>)</w:t>
            </w:r>
          </w:p>
        </w:tc>
      </w:tr>
      <w:tr w:rsidR="000C4EBF" w:rsidRPr="0040122E" w14:paraId="503309B9" w14:textId="77777777" w:rsidTr="0012272A">
        <w:tc>
          <w:tcPr>
            <w:tcW w:w="1047" w:type="pct"/>
            <w:tcBorders>
              <w:top w:val="single" w:sz="4" w:space="0" w:color="auto"/>
              <w:left w:val="nil"/>
              <w:bottom w:val="single" w:sz="4" w:space="0" w:color="auto"/>
              <w:right w:val="nil"/>
            </w:tcBorders>
          </w:tcPr>
          <w:p w14:paraId="227ED92F"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N application</w:t>
            </w:r>
          </w:p>
          <w:p w14:paraId="775EB065"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(Kg ha</w:t>
            </w:r>
            <w:r w:rsidRPr="0040122E">
              <w:rPr>
                <w:rFonts w:asciiTheme="majorBidi" w:hAnsiTheme="majorBidi" w:cstheme="majorBidi"/>
                <w:b/>
                <w:sz w:val="24"/>
                <w:szCs w:val="24"/>
                <w:vertAlign w:val="superscript"/>
              </w:rPr>
              <w:t>-1</w:t>
            </w:r>
            <w:r w:rsidRPr="0040122E">
              <w:rPr>
                <w:rFonts w:asciiTheme="majorBidi" w:hAnsiTheme="majorBidi" w:cstheme="majorBidi"/>
                <w:b/>
                <w:sz w:val="24"/>
                <w:szCs w:val="24"/>
              </w:rPr>
              <w:t>)</w:t>
            </w:r>
          </w:p>
        </w:tc>
        <w:tc>
          <w:tcPr>
            <w:tcW w:w="997" w:type="pct"/>
            <w:tcBorders>
              <w:top w:val="single" w:sz="4" w:space="0" w:color="auto"/>
              <w:left w:val="nil"/>
              <w:bottom w:val="single" w:sz="4" w:space="0" w:color="auto"/>
              <w:right w:val="nil"/>
            </w:tcBorders>
          </w:tcPr>
          <w:p w14:paraId="06A2081C"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980" w:type="pct"/>
            <w:tcBorders>
              <w:top w:val="single" w:sz="4" w:space="0" w:color="auto"/>
              <w:left w:val="nil"/>
              <w:bottom w:val="single" w:sz="4" w:space="0" w:color="auto"/>
              <w:right w:val="nil"/>
            </w:tcBorders>
          </w:tcPr>
          <w:p w14:paraId="111DBF90"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c>
          <w:tcPr>
            <w:tcW w:w="997" w:type="pct"/>
            <w:tcBorders>
              <w:top w:val="single" w:sz="4" w:space="0" w:color="auto"/>
              <w:left w:val="nil"/>
              <w:bottom w:val="single" w:sz="4" w:space="0" w:color="auto"/>
              <w:right w:val="nil"/>
            </w:tcBorders>
          </w:tcPr>
          <w:p w14:paraId="3D4AC34A"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979" w:type="pct"/>
            <w:tcBorders>
              <w:top w:val="single" w:sz="4" w:space="0" w:color="auto"/>
              <w:left w:val="nil"/>
              <w:bottom w:val="single" w:sz="4" w:space="0" w:color="auto"/>
              <w:right w:val="nil"/>
            </w:tcBorders>
          </w:tcPr>
          <w:p w14:paraId="7832CEC3"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r>
      <w:tr w:rsidR="000C4EBF" w:rsidRPr="0040122E" w14:paraId="6EFE255A" w14:textId="77777777" w:rsidTr="0012272A">
        <w:tc>
          <w:tcPr>
            <w:tcW w:w="1047" w:type="pct"/>
            <w:tcBorders>
              <w:top w:val="single" w:sz="4" w:space="0" w:color="auto"/>
              <w:left w:val="nil"/>
              <w:bottom w:val="nil"/>
              <w:right w:val="nil"/>
            </w:tcBorders>
          </w:tcPr>
          <w:p w14:paraId="5108D3D9"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0</w:t>
            </w:r>
          </w:p>
        </w:tc>
        <w:tc>
          <w:tcPr>
            <w:tcW w:w="997" w:type="pct"/>
            <w:tcBorders>
              <w:top w:val="single" w:sz="4" w:space="0" w:color="auto"/>
              <w:left w:val="nil"/>
              <w:bottom w:val="nil"/>
              <w:right w:val="nil"/>
            </w:tcBorders>
          </w:tcPr>
          <w:p w14:paraId="5AB41D46"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208.3 f</w:t>
            </w:r>
          </w:p>
        </w:tc>
        <w:tc>
          <w:tcPr>
            <w:tcW w:w="980" w:type="pct"/>
            <w:tcBorders>
              <w:top w:val="single" w:sz="4" w:space="0" w:color="auto"/>
              <w:left w:val="nil"/>
              <w:bottom w:val="nil"/>
              <w:right w:val="nil"/>
            </w:tcBorders>
          </w:tcPr>
          <w:p w14:paraId="4AD3E06B"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209.6 f</w:t>
            </w:r>
          </w:p>
        </w:tc>
        <w:tc>
          <w:tcPr>
            <w:tcW w:w="997" w:type="pct"/>
            <w:tcBorders>
              <w:top w:val="single" w:sz="4" w:space="0" w:color="auto"/>
              <w:left w:val="nil"/>
              <w:bottom w:val="nil"/>
              <w:right w:val="nil"/>
            </w:tcBorders>
          </w:tcPr>
          <w:p w14:paraId="3D55487B"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169.2 g</w:t>
            </w:r>
          </w:p>
        </w:tc>
        <w:tc>
          <w:tcPr>
            <w:tcW w:w="979" w:type="pct"/>
            <w:tcBorders>
              <w:top w:val="single" w:sz="4" w:space="0" w:color="auto"/>
              <w:left w:val="nil"/>
              <w:bottom w:val="nil"/>
              <w:right w:val="nil"/>
            </w:tcBorders>
          </w:tcPr>
          <w:p w14:paraId="0BCA67D6"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189.5 f</w:t>
            </w:r>
          </w:p>
        </w:tc>
      </w:tr>
      <w:tr w:rsidR="000C4EBF" w:rsidRPr="0040122E" w14:paraId="06CB3EB1" w14:textId="77777777" w:rsidTr="0012272A">
        <w:tc>
          <w:tcPr>
            <w:tcW w:w="1047" w:type="pct"/>
            <w:tcBorders>
              <w:top w:val="nil"/>
              <w:left w:val="nil"/>
              <w:bottom w:val="nil"/>
              <w:right w:val="nil"/>
            </w:tcBorders>
          </w:tcPr>
          <w:p w14:paraId="26EBD8C5"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40</w:t>
            </w:r>
          </w:p>
        </w:tc>
        <w:tc>
          <w:tcPr>
            <w:tcW w:w="997" w:type="pct"/>
            <w:tcBorders>
              <w:top w:val="nil"/>
              <w:left w:val="nil"/>
              <w:bottom w:val="nil"/>
              <w:right w:val="nil"/>
            </w:tcBorders>
          </w:tcPr>
          <w:p w14:paraId="40E7C6C6"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279.6 e</w:t>
            </w:r>
          </w:p>
        </w:tc>
        <w:tc>
          <w:tcPr>
            <w:tcW w:w="980" w:type="pct"/>
            <w:tcBorders>
              <w:top w:val="nil"/>
              <w:left w:val="nil"/>
              <w:bottom w:val="nil"/>
              <w:right w:val="nil"/>
            </w:tcBorders>
          </w:tcPr>
          <w:p w14:paraId="16C15F2B"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342.9 d</w:t>
            </w:r>
          </w:p>
        </w:tc>
        <w:tc>
          <w:tcPr>
            <w:tcW w:w="997" w:type="pct"/>
            <w:tcBorders>
              <w:top w:val="nil"/>
              <w:left w:val="nil"/>
              <w:bottom w:val="nil"/>
              <w:right w:val="nil"/>
            </w:tcBorders>
          </w:tcPr>
          <w:p w14:paraId="136CA1CE"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274.1 e</w:t>
            </w:r>
          </w:p>
        </w:tc>
        <w:tc>
          <w:tcPr>
            <w:tcW w:w="979" w:type="pct"/>
            <w:tcBorders>
              <w:top w:val="nil"/>
              <w:left w:val="nil"/>
              <w:bottom w:val="nil"/>
              <w:right w:val="nil"/>
            </w:tcBorders>
          </w:tcPr>
          <w:p w14:paraId="4988239E"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338.0 d</w:t>
            </w:r>
          </w:p>
        </w:tc>
      </w:tr>
      <w:tr w:rsidR="000C4EBF" w:rsidRPr="0040122E" w14:paraId="28FAE0C8" w14:textId="77777777" w:rsidTr="0012272A">
        <w:tc>
          <w:tcPr>
            <w:tcW w:w="1047" w:type="pct"/>
            <w:tcBorders>
              <w:top w:val="nil"/>
              <w:left w:val="nil"/>
              <w:bottom w:val="nil"/>
              <w:right w:val="nil"/>
            </w:tcBorders>
          </w:tcPr>
          <w:p w14:paraId="3E30BB0E"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80</w:t>
            </w:r>
          </w:p>
        </w:tc>
        <w:tc>
          <w:tcPr>
            <w:tcW w:w="997" w:type="pct"/>
            <w:tcBorders>
              <w:top w:val="nil"/>
              <w:left w:val="nil"/>
              <w:bottom w:val="nil"/>
              <w:right w:val="nil"/>
            </w:tcBorders>
          </w:tcPr>
          <w:p w14:paraId="6E84EF1C"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371.7 c</w:t>
            </w:r>
          </w:p>
        </w:tc>
        <w:tc>
          <w:tcPr>
            <w:tcW w:w="980" w:type="pct"/>
            <w:tcBorders>
              <w:top w:val="nil"/>
              <w:left w:val="nil"/>
              <w:bottom w:val="nil"/>
              <w:right w:val="nil"/>
            </w:tcBorders>
          </w:tcPr>
          <w:p w14:paraId="7CD5FC01"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416.2 b</w:t>
            </w:r>
          </w:p>
        </w:tc>
        <w:tc>
          <w:tcPr>
            <w:tcW w:w="997" w:type="pct"/>
            <w:tcBorders>
              <w:top w:val="nil"/>
              <w:left w:val="nil"/>
              <w:bottom w:val="nil"/>
              <w:right w:val="nil"/>
            </w:tcBorders>
          </w:tcPr>
          <w:p w14:paraId="3831B5DD"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352.9 c</w:t>
            </w:r>
          </w:p>
        </w:tc>
        <w:tc>
          <w:tcPr>
            <w:tcW w:w="979" w:type="pct"/>
            <w:tcBorders>
              <w:top w:val="nil"/>
              <w:left w:val="nil"/>
              <w:bottom w:val="nil"/>
              <w:right w:val="nil"/>
            </w:tcBorders>
          </w:tcPr>
          <w:p w14:paraId="661AB0BB"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411.8 b</w:t>
            </w:r>
          </w:p>
        </w:tc>
      </w:tr>
      <w:tr w:rsidR="000C4EBF" w:rsidRPr="0040122E" w14:paraId="526695A4" w14:textId="77777777" w:rsidTr="0012272A">
        <w:tc>
          <w:tcPr>
            <w:tcW w:w="1047" w:type="pct"/>
            <w:tcBorders>
              <w:top w:val="nil"/>
              <w:left w:val="nil"/>
              <w:bottom w:val="single" w:sz="4" w:space="0" w:color="auto"/>
              <w:right w:val="nil"/>
            </w:tcBorders>
          </w:tcPr>
          <w:p w14:paraId="3B8E333F"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120</w:t>
            </w:r>
          </w:p>
        </w:tc>
        <w:tc>
          <w:tcPr>
            <w:tcW w:w="997" w:type="pct"/>
            <w:tcBorders>
              <w:top w:val="nil"/>
              <w:left w:val="nil"/>
              <w:bottom w:val="single" w:sz="4" w:space="0" w:color="auto"/>
              <w:right w:val="nil"/>
            </w:tcBorders>
          </w:tcPr>
          <w:p w14:paraId="5950C284"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461.4 a</w:t>
            </w:r>
          </w:p>
        </w:tc>
        <w:tc>
          <w:tcPr>
            <w:tcW w:w="980" w:type="pct"/>
            <w:tcBorders>
              <w:top w:val="nil"/>
              <w:left w:val="nil"/>
              <w:bottom w:val="single" w:sz="4" w:space="0" w:color="auto"/>
              <w:right w:val="nil"/>
            </w:tcBorders>
          </w:tcPr>
          <w:p w14:paraId="0A431880"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481.1 a</w:t>
            </w:r>
          </w:p>
        </w:tc>
        <w:tc>
          <w:tcPr>
            <w:tcW w:w="997" w:type="pct"/>
            <w:tcBorders>
              <w:top w:val="nil"/>
              <w:left w:val="nil"/>
              <w:bottom w:val="single" w:sz="4" w:space="0" w:color="auto"/>
              <w:right w:val="nil"/>
            </w:tcBorders>
          </w:tcPr>
          <w:p w14:paraId="4B0F921C"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482.6 a</w:t>
            </w:r>
          </w:p>
        </w:tc>
        <w:tc>
          <w:tcPr>
            <w:tcW w:w="979" w:type="pct"/>
            <w:tcBorders>
              <w:top w:val="nil"/>
              <w:left w:val="nil"/>
              <w:bottom w:val="single" w:sz="4" w:space="0" w:color="auto"/>
              <w:right w:val="nil"/>
            </w:tcBorders>
          </w:tcPr>
          <w:p w14:paraId="2F650B13" w14:textId="77777777" w:rsidR="000C4EBF" w:rsidRPr="0040122E" w:rsidRDefault="000C4EBF" w:rsidP="0040122E">
            <w:pPr>
              <w:jc w:val="both"/>
              <w:rPr>
                <w:rFonts w:asciiTheme="majorBidi" w:hAnsiTheme="majorBidi" w:cstheme="majorBidi"/>
                <w:sz w:val="24"/>
                <w:szCs w:val="24"/>
              </w:rPr>
            </w:pPr>
            <w:r w:rsidRPr="0040122E">
              <w:rPr>
                <w:rFonts w:asciiTheme="majorBidi" w:hAnsiTheme="majorBidi" w:cstheme="majorBidi"/>
                <w:sz w:val="24"/>
                <w:szCs w:val="24"/>
              </w:rPr>
              <w:t>489.4 a</w:t>
            </w:r>
          </w:p>
        </w:tc>
      </w:tr>
      <w:tr w:rsidR="000C4EBF" w:rsidRPr="0040122E" w14:paraId="68D36171" w14:textId="77777777" w:rsidTr="0012272A">
        <w:tc>
          <w:tcPr>
            <w:tcW w:w="1047" w:type="pct"/>
            <w:tcBorders>
              <w:top w:val="single" w:sz="4" w:space="0" w:color="auto"/>
              <w:left w:val="nil"/>
              <w:bottom w:val="single" w:sz="4" w:space="0" w:color="auto"/>
              <w:right w:val="nil"/>
            </w:tcBorders>
          </w:tcPr>
          <w:p w14:paraId="4487A831"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LSD</w:t>
            </w:r>
          </w:p>
        </w:tc>
        <w:tc>
          <w:tcPr>
            <w:tcW w:w="1977" w:type="pct"/>
            <w:gridSpan w:val="2"/>
            <w:tcBorders>
              <w:top w:val="single" w:sz="4" w:space="0" w:color="auto"/>
              <w:left w:val="nil"/>
              <w:bottom w:val="single" w:sz="4" w:space="0" w:color="auto"/>
              <w:right w:val="nil"/>
            </w:tcBorders>
            <w:vAlign w:val="center"/>
          </w:tcPr>
          <w:p w14:paraId="234C440F"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23.42</w:t>
            </w:r>
          </w:p>
        </w:tc>
        <w:tc>
          <w:tcPr>
            <w:tcW w:w="1976" w:type="pct"/>
            <w:gridSpan w:val="2"/>
            <w:tcBorders>
              <w:top w:val="single" w:sz="4" w:space="0" w:color="auto"/>
              <w:left w:val="nil"/>
              <w:bottom w:val="single" w:sz="4" w:space="0" w:color="auto"/>
              <w:right w:val="nil"/>
            </w:tcBorders>
            <w:vAlign w:val="center"/>
          </w:tcPr>
          <w:p w14:paraId="3FDBA846"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18.72</w:t>
            </w:r>
          </w:p>
        </w:tc>
      </w:tr>
    </w:tbl>
    <w:p w14:paraId="104E07FE" w14:textId="77777777" w:rsidR="005B094E" w:rsidRPr="0040122E" w:rsidRDefault="005B094E" w:rsidP="0040122E">
      <w:pPr>
        <w:pStyle w:val="Heading4"/>
        <w:spacing w:after="160" w:afterAutospacing="0"/>
        <w:jc w:val="both"/>
        <w:rPr>
          <w:rFonts w:asciiTheme="majorBidi" w:hAnsiTheme="majorBidi" w:cstheme="majorBidi"/>
        </w:rPr>
      </w:pPr>
      <w:r w:rsidRPr="0040122E">
        <w:rPr>
          <w:rFonts w:asciiTheme="majorBidi" w:hAnsiTheme="majorBidi" w:cstheme="majorBidi"/>
        </w:rPr>
        <w:t>Grain Yield and Straw Yield</w:t>
      </w:r>
    </w:p>
    <w:p w14:paraId="1C9549E2" w14:textId="77777777" w:rsidR="005B094E" w:rsidRPr="0040122E" w:rsidRDefault="005B094E" w:rsidP="0040122E">
      <w:pPr>
        <w:pStyle w:val="NormalWeb"/>
        <w:spacing w:after="160" w:afterAutospacing="0"/>
        <w:jc w:val="both"/>
        <w:rPr>
          <w:rFonts w:asciiTheme="majorBidi" w:hAnsiTheme="majorBidi" w:cstheme="majorBidi"/>
        </w:rPr>
      </w:pPr>
      <w:r w:rsidRPr="0040122E">
        <w:rPr>
          <w:rFonts w:asciiTheme="majorBidi" w:hAnsiTheme="majorBidi" w:cstheme="majorBidi"/>
        </w:rPr>
        <w:t>The ultimate goal in crop production is to maximize profitable yield. Cultivar AZRC-</w:t>
      </w:r>
      <w:proofErr w:type="spellStart"/>
      <w:r w:rsidRPr="0040122E">
        <w:rPr>
          <w:rFonts w:asciiTheme="majorBidi" w:hAnsiTheme="majorBidi" w:cstheme="majorBidi"/>
        </w:rPr>
        <w:t>Dera</w:t>
      </w:r>
      <w:proofErr w:type="spellEnd"/>
      <w:r w:rsidRPr="0040122E">
        <w:rPr>
          <w:rFonts w:asciiTheme="majorBidi" w:hAnsiTheme="majorBidi" w:cstheme="majorBidi"/>
        </w:rPr>
        <w:t xml:space="preserve"> achieved significantly higher grain yields (4.</w:t>
      </w:r>
      <w:r w:rsidR="001B08CF" w:rsidRPr="0040122E">
        <w:rPr>
          <w:rFonts w:asciiTheme="majorBidi" w:hAnsiTheme="majorBidi" w:cstheme="majorBidi"/>
        </w:rPr>
        <w:t>64</w:t>
      </w:r>
      <w:r w:rsidRPr="0040122E">
        <w:rPr>
          <w:rFonts w:asciiTheme="majorBidi" w:hAnsiTheme="majorBidi" w:cstheme="majorBidi"/>
        </w:rPr>
        <w:t xml:space="preserve"> tons ha</w:t>
      </w:r>
      <w:r w:rsidR="004A2045" w:rsidRPr="0040122E">
        <w:rPr>
          <w:rFonts w:asciiTheme="majorBidi" w:hAnsiTheme="majorBidi" w:cstheme="majorBidi"/>
          <w:vertAlign w:val="superscript"/>
        </w:rPr>
        <w:t>-1</w:t>
      </w:r>
      <w:r w:rsidRPr="0040122E">
        <w:rPr>
          <w:rFonts w:asciiTheme="majorBidi" w:hAnsiTheme="majorBidi" w:cstheme="majorBidi"/>
        </w:rPr>
        <w:t xml:space="preserve">) compared to </w:t>
      </w:r>
      <w:r w:rsidR="001B08CF" w:rsidRPr="0040122E">
        <w:rPr>
          <w:rFonts w:asciiTheme="majorBidi" w:hAnsiTheme="majorBidi" w:cstheme="majorBidi"/>
        </w:rPr>
        <w:t>Galaxy</w:t>
      </w:r>
      <w:r w:rsidRPr="0040122E">
        <w:rPr>
          <w:rFonts w:asciiTheme="majorBidi" w:hAnsiTheme="majorBidi" w:cstheme="majorBidi"/>
        </w:rPr>
        <w:t xml:space="preserve"> (</w:t>
      </w:r>
      <w:r w:rsidR="001A2B04" w:rsidRPr="0040122E">
        <w:rPr>
          <w:rFonts w:asciiTheme="majorBidi" w:hAnsiTheme="majorBidi" w:cstheme="majorBidi"/>
        </w:rPr>
        <w:t>P &lt; 0.01</w:t>
      </w:r>
      <w:r w:rsidRPr="0040122E">
        <w:rPr>
          <w:rFonts w:asciiTheme="majorBidi" w:hAnsiTheme="majorBidi" w:cstheme="majorBidi"/>
        </w:rPr>
        <w:t xml:space="preserve">). Nitrogen application at rates of </w:t>
      </w:r>
      <w:r w:rsidR="004A2045" w:rsidRPr="0040122E">
        <w:rPr>
          <w:rFonts w:asciiTheme="majorBidi" w:hAnsiTheme="majorBidi" w:cstheme="majorBidi"/>
        </w:rPr>
        <w:t>40, 80 and 120</w:t>
      </w:r>
      <w:r w:rsidRPr="0040122E">
        <w:rPr>
          <w:rFonts w:asciiTheme="majorBidi" w:hAnsiTheme="majorBidi" w:cstheme="majorBidi"/>
        </w:rPr>
        <w:t xml:space="preserve"> kg ha</w:t>
      </w:r>
      <w:r w:rsidR="004A2045" w:rsidRPr="0040122E">
        <w:rPr>
          <w:rFonts w:asciiTheme="majorBidi" w:hAnsiTheme="majorBidi" w:cstheme="majorBidi"/>
          <w:vertAlign w:val="superscript"/>
        </w:rPr>
        <w:t>-1</w:t>
      </w:r>
      <w:r w:rsidRPr="0040122E">
        <w:rPr>
          <w:rFonts w:asciiTheme="majorBidi" w:hAnsiTheme="majorBidi" w:cstheme="majorBidi"/>
        </w:rPr>
        <w:t xml:space="preserve"> significantly increased grain yields, with the highest nitrogen rate producing the maximum grain yield (4.</w:t>
      </w:r>
      <w:r w:rsidR="001B08CF" w:rsidRPr="0040122E">
        <w:rPr>
          <w:rFonts w:asciiTheme="majorBidi" w:hAnsiTheme="majorBidi" w:cstheme="majorBidi"/>
        </w:rPr>
        <w:t xml:space="preserve">64 </w:t>
      </w:r>
      <w:r w:rsidRPr="0040122E">
        <w:rPr>
          <w:rFonts w:asciiTheme="majorBidi" w:hAnsiTheme="majorBidi" w:cstheme="majorBidi"/>
        </w:rPr>
        <w:t>tons ha</w:t>
      </w:r>
      <w:r w:rsidR="004A2045" w:rsidRPr="0040122E">
        <w:rPr>
          <w:rFonts w:asciiTheme="majorBidi" w:hAnsiTheme="majorBidi" w:cstheme="majorBidi"/>
          <w:vertAlign w:val="superscript"/>
        </w:rPr>
        <w:t>-1</w:t>
      </w:r>
      <w:r w:rsidRPr="0040122E">
        <w:rPr>
          <w:rFonts w:asciiTheme="majorBidi" w:hAnsiTheme="majorBidi" w:cstheme="majorBidi"/>
        </w:rPr>
        <w:t xml:space="preserve">). This aligns with previous research that highlights the positive influence of nitrogen on wheat growth and development </w:t>
      </w:r>
      <w:r w:rsidR="00B87A51" w:rsidRPr="0040122E">
        <w:rPr>
          <w:rFonts w:asciiTheme="majorBidi" w:hAnsiTheme="majorBidi" w:cstheme="majorBidi"/>
          <w:vertAlign w:val="superscript"/>
        </w:rPr>
        <w:t>10</w:t>
      </w:r>
      <w:r w:rsidR="00CD646D" w:rsidRPr="0040122E">
        <w:rPr>
          <w:rFonts w:asciiTheme="majorBidi" w:hAnsiTheme="majorBidi" w:cstheme="majorBidi"/>
          <w:vertAlign w:val="superscript"/>
        </w:rPr>
        <w:t>,11</w:t>
      </w:r>
      <w:r w:rsidRPr="0040122E">
        <w:rPr>
          <w:rFonts w:asciiTheme="majorBidi" w:hAnsiTheme="majorBidi" w:cstheme="majorBidi"/>
        </w:rPr>
        <w:t>. Furthermore, cultivar AZRC-</w:t>
      </w:r>
      <w:proofErr w:type="spellStart"/>
      <w:r w:rsidRPr="0040122E">
        <w:rPr>
          <w:rFonts w:asciiTheme="majorBidi" w:hAnsiTheme="majorBidi" w:cstheme="majorBidi"/>
        </w:rPr>
        <w:t>Dera</w:t>
      </w:r>
      <w:proofErr w:type="spellEnd"/>
      <w:r w:rsidRPr="0040122E">
        <w:rPr>
          <w:rFonts w:asciiTheme="majorBidi" w:hAnsiTheme="majorBidi" w:cstheme="majorBidi"/>
        </w:rPr>
        <w:t xml:space="preserve"> exhibited a signi</w:t>
      </w:r>
      <w:r w:rsidR="001B08CF" w:rsidRPr="0040122E">
        <w:rPr>
          <w:rFonts w:asciiTheme="majorBidi" w:hAnsiTheme="majorBidi" w:cstheme="majorBidi"/>
        </w:rPr>
        <w:t>ficantly higher straw yield (9.3</w:t>
      </w:r>
      <w:r w:rsidRPr="0040122E">
        <w:rPr>
          <w:rFonts w:asciiTheme="majorBidi" w:hAnsiTheme="majorBidi" w:cstheme="majorBidi"/>
        </w:rPr>
        <w:t>2 tons ha</w:t>
      </w:r>
      <w:r w:rsidR="004A2045" w:rsidRPr="0040122E">
        <w:rPr>
          <w:rFonts w:asciiTheme="majorBidi" w:hAnsiTheme="majorBidi" w:cstheme="majorBidi"/>
          <w:vertAlign w:val="superscript"/>
        </w:rPr>
        <w:t>-1</w:t>
      </w:r>
      <w:r w:rsidRPr="0040122E">
        <w:rPr>
          <w:rFonts w:asciiTheme="majorBidi" w:hAnsiTheme="majorBidi" w:cstheme="majorBidi"/>
        </w:rPr>
        <w:t xml:space="preserve">) compared to </w:t>
      </w:r>
      <w:r w:rsidR="001B08CF" w:rsidRPr="0040122E">
        <w:rPr>
          <w:rFonts w:asciiTheme="majorBidi" w:hAnsiTheme="majorBidi" w:cstheme="majorBidi"/>
        </w:rPr>
        <w:t>Galaxy</w:t>
      </w:r>
      <w:r w:rsidRPr="0040122E">
        <w:rPr>
          <w:rFonts w:asciiTheme="majorBidi" w:hAnsiTheme="majorBidi" w:cstheme="majorBidi"/>
        </w:rPr>
        <w:t xml:space="preserve"> (</w:t>
      </w:r>
      <w:r w:rsidR="001A2B04" w:rsidRPr="0040122E">
        <w:rPr>
          <w:rFonts w:asciiTheme="majorBidi" w:hAnsiTheme="majorBidi" w:cstheme="majorBidi"/>
        </w:rPr>
        <w:t>p &lt; 0.01</w:t>
      </w:r>
      <w:r w:rsidRPr="0040122E">
        <w:rPr>
          <w:rFonts w:asciiTheme="majorBidi" w:hAnsiTheme="majorBidi" w:cstheme="majorBidi"/>
        </w:rPr>
        <w:t xml:space="preserve">). Nitrogen application, particularly at rates of </w:t>
      </w:r>
      <w:r w:rsidR="004A2045" w:rsidRPr="0040122E">
        <w:rPr>
          <w:rFonts w:asciiTheme="majorBidi" w:hAnsiTheme="majorBidi" w:cstheme="majorBidi"/>
        </w:rPr>
        <w:t>40, 80 and 120</w:t>
      </w:r>
      <w:r w:rsidRPr="0040122E">
        <w:rPr>
          <w:rFonts w:asciiTheme="majorBidi" w:hAnsiTheme="majorBidi" w:cstheme="majorBidi"/>
        </w:rPr>
        <w:t xml:space="preserve"> kg ha</w:t>
      </w:r>
      <w:r w:rsidR="004A2045" w:rsidRPr="0040122E">
        <w:rPr>
          <w:rFonts w:asciiTheme="majorBidi" w:hAnsiTheme="majorBidi" w:cstheme="majorBidi"/>
          <w:vertAlign w:val="superscript"/>
        </w:rPr>
        <w:t>-1</w:t>
      </w:r>
      <w:r w:rsidRPr="0040122E">
        <w:rPr>
          <w:rFonts w:asciiTheme="majorBidi" w:hAnsiTheme="majorBidi" w:cstheme="majorBidi"/>
        </w:rPr>
        <w:t>, significantly increased straw yield</w:t>
      </w:r>
      <w:r w:rsidR="004A2045" w:rsidRPr="0040122E">
        <w:rPr>
          <w:rFonts w:asciiTheme="majorBidi" w:hAnsiTheme="majorBidi" w:cstheme="majorBidi"/>
        </w:rPr>
        <w:t>s. The highest nitrogen rate (12</w:t>
      </w:r>
      <w:r w:rsidRPr="0040122E">
        <w:rPr>
          <w:rFonts w:asciiTheme="majorBidi" w:hAnsiTheme="majorBidi" w:cstheme="majorBidi"/>
        </w:rPr>
        <w:t>0 kg ha</w:t>
      </w:r>
      <w:r w:rsidR="004A2045" w:rsidRPr="0040122E">
        <w:rPr>
          <w:rFonts w:asciiTheme="majorBidi" w:hAnsiTheme="majorBidi" w:cstheme="majorBidi"/>
          <w:vertAlign w:val="superscript"/>
        </w:rPr>
        <w:t>-1</w:t>
      </w:r>
      <w:r w:rsidRPr="0040122E">
        <w:rPr>
          <w:rFonts w:asciiTheme="majorBidi" w:hAnsiTheme="majorBidi" w:cstheme="majorBidi"/>
        </w:rPr>
        <w:t>) resulted</w:t>
      </w:r>
      <w:r w:rsidR="001B08CF" w:rsidRPr="0040122E">
        <w:rPr>
          <w:rFonts w:asciiTheme="majorBidi" w:hAnsiTheme="majorBidi" w:cstheme="majorBidi"/>
        </w:rPr>
        <w:t xml:space="preserve"> in the maximum straw yield (9.3</w:t>
      </w:r>
      <w:r w:rsidRPr="0040122E">
        <w:rPr>
          <w:rFonts w:asciiTheme="majorBidi" w:hAnsiTheme="majorBidi" w:cstheme="majorBidi"/>
        </w:rPr>
        <w:t>2 tons ha</w:t>
      </w:r>
      <w:r w:rsidR="004A2045" w:rsidRPr="0040122E">
        <w:rPr>
          <w:rFonts w:asciiTheme="majorBidi" w:hAnsiTheme="majorBidi" w:cstheme="majorBidi"/>
          <w:vertAlign w:val="superscript"/>
        </w:rPr>
        <w:t>-1</w:t>
      </w:r>
      <w:r w:rsidRPr="0040122E">
        <w:rPr>
          <w:rFonts w:asciiTheme="majorBidi" w:hAnsiTheme="majorBidi" w:cstheme="majorBidi"/>
        </w:rPr>
        <w:t>). This suggests that nitrogen use boosts vegetative growth, delays senescence, and increases overall biological yield.</w:t>
      </w:r>
    </w:p>
    <w:p w14:paraId="264015D4" w14:textId="77777777" w:rsidR="000C4EBF" w:rsidRPr="0040122E" w:rsidRDefault="000C4EBF" w:rsidP="0040122E">
      <w:pPr>
        <w:spacing w:line="240" w:lineRule="auto"/>
        <w:jc w:val="center"/>
        <w:rPr>
          <w:rFonts w:asciiTheme="majorBidi" w:hAnsiTheme="majorBidi" w:cstheme="majorBidi"/>
          <w:bCs/>
          <w:i/>
          <w:iCs/>
          <w:sz w:val="24"/>
          <w:szCs w:val="24"/>
        </w:rPr>
      </w:pPr>
      <w:r w:rsidRPr="0040122E">
        <w:rPr>
          <w:rFonts w:asciiTheme="majorBidi" w:hAnsiTheme="majorBidi" w:cstheme="majorBidi"/>
          <w:b/>
          <w:i/>
          <w:iCs/>
          <w:sz w:val="24"/>
          <w:szCs w:val="24"/>
        </w:rPr>
        <w:t xml:space="preserve">Table 3. </w:t>
      </w:r>
      <w:r w:rsidRPr="0040122E">
        <w:rPr>
          <w:rFonts w:asciiTheme="majorBidi" w:hAnsiTheme="majorBidi" w:cstheme="majorBidi"/>
          <w:bCs/>
          <w:i/>
          <w:iCs/>
          <w:sz w:val="24"/>
          <w:szCs w:val="24"/>
        </w:rPr>
        <w:t>Grain and Straw yields as influenced by application of nitrogen at various rates</w:t>
      </w:r>
    </w:p>
    <w:tbl>
      <w:tblPr>
        <w:tblStyle w:val="TableGrid"/>
        <w:tblW w:w="5000" w:type="pct"/>
        <w:tblLook w:val="04A0" w:firstRow="1" w:lastRow="0" w:firstColumn="1" w:lastColumn="0" w:noHBand="0" w:noVBand="1"/>
      </w:tblPr>
      <w:tblGrid>
        <w:gridCol w:w="1960"/>
        <w:gridCol w:w="1866"/>
        <w:gridCol w:w="1835"/>
        <w:gridCol w:w="1866"/>
        <w:gridCol w:w="1833"/>
      </w:tblGrid>
      <w:tr w:rsidR="000C4EBF" w:rsidRPr="0040122E" w14:paraId="5DF3DFD6" w14:textId="77777777" w:rsidTr="0012272A">
        <w:tc>
          <w:tcPr>
            <w:tcW w:w="1047" w:type="pct"/>
            <w:tcBorders>
              <w:top w:val="single" w:sz="4" w:space="0" w:color="auto"/>
              <w:left w:val="nil"/>
              <w:bottom w:val="single" w:sz="4" w:space="0" w:color="auto"/>
              <w:right w:val="nil"/>
            </w:tcBorders>
          </w:tcPr>
          <w:p w14:paraId="03923EBC"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Treatments</w:t>
            </w:r>
          </w:p>
        </w:tc>
        <w:tc>
          <w:tcPr>
            <w:tcW w:w="1977" w:type="pct"/>
            <w:gridSpan w:val="2"/>
            <w:tcBorders>
              <w:top w:val="single" w:sz="4" w:space="0" w:color="auto"/>
              <w:left w:val="nil"/>
              <w:bottom w:val="single" w:sz="4" w:space="0" w:color="auto"/>
              <w:right w:val="nil"/>
            </w:tcBorders>
          </w:tcPr>
          <w:p w14:paraId="1C7D682C" w14:textId="77777777" w:rsidR="000C4EBF" w:rsidRPr="0040122E" w:rsidRDefault="000C4EBF" w:rsidP="0040122E">
            <w:pPr>
              <w:jc w:val="center"/>
              <w:rPr>
                <w:rFonts w:asciiTheme="majorBidi" w:hAnsiTheme="majorBidi" w:cstheme="majorBidi"/>
                <w:b/>
                <w:sz w:val="24"/>
                <w:szCs w:val="24"/>
              </w:rPr>
            </w:pPr>
            <w:r w:rsidRPr="0040122E">
              <w:rPr>
                <w:rFonts w:asciiTheme="majorBidi" w:hAnsiTheme="majorBidi" w:cstheme="majorBidi"/>
                <w:b/>
                <w:sz w:val="24"/>
                <w:szCs w:val="24"/>
              </w:rPr>
              <w:t>Grain Yield (Tons ha</w:t>
            </w:r>
            <w:r w:rsidRPr="0040122E">
              <w:rPr>
                <w:rFonts w:asciiTheme="majorBidi" w:hAnsiTheme="majorBidi" w:cstheme="majorBidi"/>
                <w:b/>
                <w:sz w:val="24"/>
                <w:szCs w:val="24"/>
                <w:vertAlign w:val="superscript"/>
              </w:rPr>
              <w:t>-1</w:t>
            </w:r>
            <w:r w:rsidRPr="0040122E">
              <w:rPr>
                <w:rFonts w:asciiTheme="majorBidi" w:hAnsiTheme="majorBidi" w:cstheme="majorBidi"/>
                <w:b/>
                <w:sz w:val="24"/>
                <w:szCs w:val="24"/>
              </w:rPr>
              <w:t>)</w:t>
            </w:r>
          </w:p>
        </w:tc>
        <w:tc>
          <w:tcPr>
            <w:tcW w:w="1976" w:type="pct"/>
            <w:gridSpan w:val="2"/>
            <w:tcBorders>
              <w:top w:val="single" w:sz="4" w:space="0" w:color="auto"/>
              <w:left w:val="nil"/>
              <w:bottom w:val="single" w:sz="4" w:space="0" w:color="auto"/>
              <w:right w:val="nil"/>
            </w:tcBorders>
          </w:tcPr>
          <w:p w14:paraId="12122A77" w14:textId="77777777" w:rsidR="000C4EBF" w:rsidRPr="0040122E" w:rsidRDefault="000C4EBF" w:rsidP="0040122E">
            <w:pPr>
              <w:jc w:val="center"/>
              <w:rPr>
                <w:rFonts w:asciiTheme="majorBidi" w:hAnsiTheme="majorBidi" w:cstheme="majorBidi"/>
                <w:b/>
                <w:sz w:val="24"/>
                <w:szCs w:val="24"/>
              </w:rPr>
            </w:pPr>
            <w:r w:rsidRPr="0040122E">
              <w:rPr>
                <w:rFonts w:asciiTheme="majorBidi" w:hAnsiTheme="majorBidi" w:cstheme="majorBidi"/>
                <w:b/>
                <w:sz w:val="24"/>
                <w:szCs w:val="24"/>
              </w:rPr>
              <w:t>Straw Yield (Tons ha</w:t>
            </w:r>
            <w:r w:rsidRPr="0040122E">
              <w:rPr>
                <w:rFonts w:asciiTheme="majorBidi" w:hAnsiTheme="majorBidi" w:cstheme="majorBidi"/>
                <w:b/>
                <w:sz w:val="24"/>
                <w:szCs w:val="24"/>
                <w:vertAlign w:val="superscript"/>
              </w:rPr>
              <w:t>-1</w:t>
            </w:r>
            <w:r w:rsidRPr="0040122E">
              <w:rPr>
                <w:rFonts w:asciiTheme="majorBidi" w:hAnsiTheme="majorBidi" w:cstheme="majorBidi"/>
                <w:b/>
                <w:sz w:val="24"/>
                <w:szCs w:val="24"/>
              </w:rPr>
              <w:t>)</w:t>
            </w:r>
          </w:p>
        </w:tc>
      </w:tr>
      <w:tr w:rsidR="000C4EBF" w:rsidRPr="0040122E" w14:paraId="57E2FCF0" w14:textId="77777777" w:rsidTr="0012272A">
        <w:tc>
          <w:tcPr>
            <w:tcW w:w="1047" w:type="pct"/>
            <w:tcBorders>
              <w:top w:val="single" w:sz="4" w:space="0" w:color="auto"/>
              <w:left w:val="nil"/>
              <w:bottom w:val="single" w:sz="4" w:space="0" w:color="auto"/>
              <w:right w:val="nil"/>
            </w:tcBorders>
          </w:tcPr>
          <w:p w14:paraId="6FDEEEF4"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N application</w:t>
            </w:r>
          </w:p>
          <w:p w14:paraId="5681FB27"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(Kg ha</w:t>
            </w:r>
            <w:r w:rsidRPr="0040122E">
              <w:rPr>
                <w:rFonts w:asciiTheme="majorBidi" w:hAnsiTheme="majorBidi" w:cstheme="majorBidi"/>
                <w:b/>
                <w:sz w:val="24"/>
                <w:szCs w:val="24"/>
                <w:vertAlign w:val="superscript"/>
              </w:rPr>
              <w:t>-1</w:t>
            </w:r>
            <w:r w:rsidRPr="0040122E">
              <w:rPr>
                <w:rFonts w:asciiTheme="majorBidi" w:hAnsiTheme="majorBidi" w:cstheme="majorBidi"/>
                <w:b/>
                <w:sz w:val="24"/>
                <w:szCs w:val="24"/>
              </w:rPr>
              <w:t>)</w:t>
            </w:r>
          </w:p>
        </w:tc>
        <w:tc>
          <w:tcPr>
            <w:tcW w:w="997" w:type="pct"/>
            <w:tcBorders>
              <w:top w:val="single" w:sz="4" w:space="0" w:color="auto"/>
              <w:left w:val="nil"/>
              <w:bottom w:val="single" w:sz="4" w:space="0" w:color="auto"/>
              <w:right w:val="nil"/>
            </w:tcBorders>
          </w:tcPr>
          <w:p w14:paraId="538CF264"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980" w:type="pct"/>
            <w:tcBorders>
              <w:top w:val="single" w:sz="4" w:space="0" w:color="auto"/>
              <w:left w:val="nil"/>
              <w:bottom w:val="single" w:sz="4" w:space="0" w:color="auto"/>
              <w:right w:val="nil"/>
            </w:tcBorders>
          </w:tcPr>
          <w:p w14:paraId="613BBD65"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c>
          <w:tcPr>
            <w:tcW w:w="997" w:type="pct"/>
            <w:tcBorders>
              <w:top w:val="single" w:sz="4" w:space="0" w:color="auto"/>
              <w:left w:val="nil"/>
              <w:bottom w:val="single" w:sz="4" w:space="0" w:color="auto"/>
              <w:right w:val="nil"/>
            </w:tcBorders>
          </w:tcPr>
          <w:p w14:paraId="4BDDA814"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Galaxy</w:t>
            </w:r>
          </w:p>
        </w:tc>
        <w:tc>
          <w:tcPr>
            <w:tcW w:w="979" w:type="pct"/>
            <w:tcBorders>
              <w:top w:val="single" w:sz="4" w:space="0" w:color="auto"/>
              <w:left w:val="nil"/>
              <w:bottom w:val="single" w:sz="4" w:space="0" w:color="auto"/>
              <w:right w:val="nil"/>
            </w:tcBorders>
          </w:tcPr>
          <w:p w14:paraId="1185DFAF"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AZRC-</w:t>
            </w:r>
            <w:proofErr w:type="spellStart"/>
            <w:r w:rsidRPr="0040122E">
              <w:rPr>
                <w:rFonts w:asciiTheme="majorBidi" w:hAnsiTheme="majorBidi" w:cstheme="majorBidi"/>
                <w:b/>
                <w:sz w:val="24"/>
                <w:szCs w:val="24"/>
              </w:rPr>
              <w:t>Dera</w:t>
            </w:r>
            <w:proofErr w:type="spellEnd"/>
          </w:p>
        </w:tc>
      </w:tr>
      <w:tr w:rsidR="000C4EBF" w:rsidRPr="0040122E" w14:paraId="68B92414" w14:textId="77777777" w:rsidTr="0012272A">
        <w:tc>
          <w:tcPr>
            <w:tcW w:w="1047" w:type="pct"/>
            <w:tcBorders>
              <w:top w:val="single" w:sz="4" w:space="0" w:color="auto"/>
              <w:left w:val="nil"/>
              <w:bottom w:val="nil"/>
              <w:right w:val="nil"/>
            </w:tcBorders>
          </w:tcPr>
          <w:p w14:paraId="3A0E5E27"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0</w:t>
            </w:r>
          </w:p>
        </w:tc>
        <w:tc>
          <w:tcPr>
            <w:tcW w:w="997" w:type="pct"/>
            <w:tcBorders>
              <w:top w:val="single" w:sz="4" w:space="0" w:color="auto"/>
              <w:left w:val="nil"/>
              <w:bottom w:val="nil"/>
              <w:right w:val="nil"/>
            </w:tcBorders>
          </w:tcPr>
          <w:p w14:paraId="543EC546"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2.69 e</w:t>
            </w:r>
          </w:p>
        </w:tc>
        <w:tc>
          <w:tcPr>
            <w:tcW w:w="980" w:type="pct"/>
            <w:tcBorders>
              <w:top w:val="single" w:sz="4" w:space="0" w:color="auto"/>
              <w:left w:val="nil"/>
              <w:bottom w:val="nil"/>
              <w:right w:val="nil"/>
            </w:tcBorders>
          </w:tcPr>
          <w:p w14:paraId="0722F6BC"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2.71 e</w:t>
            </w:r>
          </w:p>
        </w:tc>
        <w:tc>
          <w:tcPr>
            <w:tcW w:w="997" w:type="pct"/>
            <w:tcBorders>
              <w:top w:val="single" w:sz="4" w:space="0" w:color="auto"/>
              <w:left w:val="nil"/>
              <w:bottom w:val="nil"/>
              <w:right w:val="nil"/>
            </w:tcBorders>
          </w:tcPr>
          <w:p w14:paraId="636037C7"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7.12 e</w:t>
            </w:r>
          </w:p>
        </w:tc>
        <w:tc>
          <w:tcPr>
            <w:tcW w:w="979" w:type="pct"/>
            <w:tcBorders>
              <w:top w:val="single" w:sz="4" w:space="0" w:color="auto"/>
              <w:left w:val="nil"/>
              <w:bottom w:val="nil"/>
              <w:right w:val="nil"/>
            </w:tcBorders>
          </w:tcPr>
          <w:p w14:paraId="7D48B0F2"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7.56 d</w:t>
            </w:r>
          </w:p>
        </w:tc>
      </w:tr>
      <w:tr w:rsidR="000C4EBF" w:rsidRPr="0040122E" w14:paraId="40E5211A" w14:textId="77777777" w:rsidTr="0012272A">
        <w:tc>
          <w:tcPr>
            <w:tcW w:w="1047" w:type="pct"/>
            <w:tcBorders>
              <w:top w:val="nil"/>
              <w:left w:val="nil"/>
              <w:bottom w:val="nil"/>
              <w:right w:val="nil"/>
            </w:tcBorders>
          </w:tcPr>
          <w:p w14:paraId="21AA1053"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40</w:t>
            </w:r>
          </w:p>
        </w:tc>
        <w:tc>
          <w:tcPr>
            <w:tcW w:w="997" w:type="pct"/>
            <w:tcBorders>
              <w:top w:val="nil"/>
              <w:left w:val="nil"/>
              <w:bottom w:val="nil"/>
              <w:right w:val="nil"/>
            </w:tcBorders>
          </w:tcPr>
          <w:p w14:paraId="1440F9B3"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3.25 d</w:t>
            </w:r>
          </w:p>
        </w:tc>
        <w:tc>
          <w:tcPr>
            <w:tcW w:w="980" w:type="pct"/>
            <w:tcBorders>
              <w:top w:val="nil"/>
              <w:left w:val="nil"/>
              <w:bottom w:val="nil"/>
              <w:right w:val="nil"/>
            </w:tcBorders>
          </w:tcPr>
          <w:p w14:paraId="1BB80EB0"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3.69 c</w:t>
            </w:r>
          </w:p>
        </w:tc>
        <w:tc>
          <w:tcPr>
            <w:tcW w:w="997" w:type="pct"/>
            <w:tcBorders>
              <w:top w:val="nil"/>
              <w:left w:val="nil"/>
              <w:bottom w:val="nil"/>
              <w:right w:val="nil"/>
            </w:tcBorders>
          </w:tcPr>
          <w:p w14:paraId="7F18346D"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7.61 d</w:t>
            </w:r>
          </w:p>
        </w:tc>
        <w:tc>
          <w:tcPr>
            <w:tcW w:w="979" w:type="pct"/>
            <w:tcBorders>
              <w:top w:val="nil"/>
              <w:left w:val="nil"/>
              <w:bottom w:val="nil"/>
              <w:right w:val="nil"/>
            </w:tcBorders>
          </w:tcPr>
          <w:p w14:paraId="5EA0262B"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8.13 c</w:t>
            </w:r>
          </w:p>
        </w:tc>
      </w:tr>
      <w:tr w:rsidR="000C4EBF" w:rsidRPr="0040122E" w14:paraId="7377D464" w14:textId="77777777" w:rsidTr="0012272A">
        <w:tc>
          <w:tcPr>
            <w:tcW w:w="1047" w:type="pct"/>
            <w:tcBorders>
              <w:top w:val="nil"/>
              <w:left w:val="nil"/>
              <w:bottom w:val="nil"/>
              <w:right w:val="nil"/>
            </w:tcBorders>
          </w:tcPr>
          <w:p w14:paraId="3133C859"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80</w:t>
            </w:r>
          </w:p>
        </w:tc>
        <w:tc>
          <w:tcPr>
            <w:tcW w:w="997" w:type="pct"/>
            <w:tcBorders>
              <w:top w:val="nil"/>
              <w:left w:val="nil"/>
              <w:bottom w:val="nil"/>
              <w:right w:val="nil"/>
            </w:tcBorders>
          </w:tcPr>
          <w:p w14:paraId="2A99D95F"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4.23 b</w:t>
            </w:r>
          </w:p>
        </w:tc>
        <w:tc>
          <w:tcPr>
            <w:tcW w:w="980" w:type="pct"/>
            <w:tcBorders>
              <w:top w:val="nil"/>
              <w:left w:val="nil"/>
              <w:bottom w:val="nil"/>
              <w:right w:val="nil"/>
            </w:tcBorders>
          </w:tcPr>
          <w:p w14:paraId="6B34DF96"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4.31 b</w:t>
            </w:r>
          </w:p>
        </w:tc>
        <w:tc>
          <w:tcPr>
            <w:tcW w:w="997" w:type="pct"/>
            <w:tcBorders>
              <w:top w:val="nil"/>
              <w:left w:val="nil"/>
              <w:bottom w:val="nil"/>
              <w:right w:val="nil"/>
            </w:tcBorders>
          </w:tcPr>
          <w:p w14:paraId="667261AB"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8.15 c</w:t>
            </w:r>
          </w:p>
        </w:tc>
        <w:tc>
          <w:tcPr>
            <w:tcW w:w="979" w:type="pct"/>
            <w:tcBorders>
              <w:top w:val="nil"/>
              <w:left w:val="nil"/>
              <w:bottom w:val="nil"/>
              <w:right w:val="nil"/>
            </w:tcBorders>
          </w:tcPr>
          <w:p w14:paraId="4D19D7C7"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8.78 b</w:t>
            </w:r>
          </w:p>
        </w:tc>
      </w:tr>
      <w:tr w:rsidR="000C4EBF" w:rsidRPr="0040122E" w14:paraId="70F4CD45" w14:textId="77777777" w:rsidTr="0012272A">
        <w:tc>
          <w:tcPr>
            <w:tcW w:w="1047" w:type="pct"/>
            <w:tcBorders>
              <w:top w:val="nil"/>
              <w:left w:val="nil"/>
              <w:bottom w:val="single" w:sz="4" w:space="0" w:color="auto"/>
              <w:right w:val="nil"/>
            </w:tcBorders>
          </w:tcPr>
          <w:p w14:paraId="571BFE22"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120</w:t>
            </w:r>
          </w:p>
        </w:tc>
        <w:tc>
          <w:tcPr>
            <w:tcW w:w="997" w:type="pct"/>
            <w:tcBorders>
              <w:top w:val="nil"/>
              <w:left w:val="nil"/>
              <w:bottom w:val="single" w:sz="4" w:space="0" w:color="auto"/>
              <w:right w:val="nil"/>
            </w:tcBorders>
          </w:tcPr>
          <w:p w14:paraId="67F1374A"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4.24 b</w:t>
            </w:r>
          </w:p>
        </w:tc>
        <w:tc>
          <w:tcPr>
            <w:tcW w:w="980" w:type="pct"/>
            <w:tcBorders>
              <w:top w:val="nil"/>
              <w:left w:val="nil"/>
              <w:bottom w:val="single" w:sz="4" w:space="0" w:color="auto"/>
              <w:right w:val="nil"/>
            </w:tcBorders>
          </w:tcPr>
          <w:p w14:paraId="2BE30307"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4.64 a</w:t>
            </w:r>
          </w:p>
        </w:tc>
        <w:tc>
          <w:tcPr>
            <w:tcW w:w="997" w:type="pct"/>
            <w:tcBorders>
              <w:top w:val="nil"/>
              <w:left w:val="nil"/>
              <w:bottom w:val="single" w:sz="4" w:space="0" w:color="auto"/>
              <w:right w:val="nil"/>
            </w:tcBorders>
          </w:tcPr>
          <w:p w14:paraId="3EF7E1A9"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 xml:space="preserve">8.51 </w:t>
            </w:r>
            <w:proofErr w:type="spellStart"/>
            <w:r w:rsidRPr="0040122E">
              <w:rPr>
                <w:rFonts w:asciiTheme="majorBidi" w:hAnsiTheme="majorBidi" w:cstheme="majorBidi"/>
                <w:sz w:val="24"/>
                <w:szCs w:val="24"/>
              </w:rPr>
              <w:t>bc</w:t>
            </w:r>
            <w:proofErr w:type="spellEnd"/>
          </w:p>
        </w:tc>
        <w:tc>
          <w:tcPr>
            <w:tcW w:w="979" w:type="pct"/>
            <w:tcBorders>
              <w:top w:val="nil"/>
              <w:left w:val="nil"/>
              <w:bottom w:val="single" w:sz="4" w:space="0" w:color="auto"/>
              <w:right w:val="nil"/>
            </w:tcBorders>
          </w:tcPr>
          <w:p w14:paraId="4698DA20"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9.32 a</w:t>
            </w:r>
          </w:p>
        </w:tc>
      </w:tr>
      <w:tr w:rsidR="000C4EBF" w:rsidRPr="0040122E" w14:paraId="04666153" w14:textId="77777777" w:rsidTr="0012272A">
        <w:tc>
          <w:tcPr>
            <w:tcW w:w="1047" w:type="pct"/>
            <w:tcBorders>
              <w:top w:val="single" w:sz="4" w:space="0" w:color="auto"/>
              <w:left w:val="nil"/>
              <w:bottom w:val="single" w:sz="4" w:space="0" w:color="auto"/>
              <w:right w:val="nil"/>
            </w:tcBorders>
          </w:tcPr>
          <w:p w14:paraId="7A73D37D" w14:textId="77777777" w:rsidR="000C4EBF" w:rsidRPr="0040122E" w:rsidRDefault="000C4EBF" w:rsidP="0040122E">
            <w:pPr>
              <w:jc w:val="both"/>
              <w:rPr>
                <w:rFonts w:asciiTheme="majorBidi" w:hAnsiTheme="majorBidi" w:cstheme="majorBidi"/>
                <w:b/>
                <w:sz w:val="24"/>
                <w:szCs w:val="24"/>
              </w:rPr>
            </w:pPr>
            <w:r w:rsidRPr="0040122E">
              <w:rPr>
                <w:rFonts w:asciiTheme="majorBidi" w:hAnsiTheme="majorBidi" w:cstheme="majorBidi"/>
                <w:b/>
                <w:sz w:val="24"/>
                <w:szCs w:val="24"/>
              </w:rPr>
              <w:t>LSD</w:t>
            </w:r>
          </w:p>
        </w:tc>
        <w:tc>
          <w:tcPr>
            <w:tcW w:w="1977" w:type="pct"/>
            <w:gridSpan w:val="2"/>
            <w:tcBorders>
              <w:top w:val="single" w:sz="4" w:space="0" w:color="auto"/>
              <w:left w:val="nil"/>
              <w:bottom w:val="single" w:sz="4" w:space="0" w:color="auto"/>
              <w:right w:val="nil"/>
            </w:tcBorders>
            <w:vAlign w:val="center"/>
          </w:tcPr>
          <w:p w14:paraId="48855354"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0.31</w:t>
            </w:r>
          </w:p>
        </w:tc>
        <w:tc>
          <w:tcPr>
            <w:tcW w:w="1976" w:type="pct"/>
            <w:gridSpan w:val="2"/>
            <w:tcBorders>
              <w:top w:val="single" w:sz="4" w:space="0" w:color="auto"/>
              <w:left w:val="nil"/>
              <w:bottom w:val="single" w:sz="4" w:space="0" w:color="auto"/>
              <w:right w:val="nil"/>
            </w:tcBorders>
            <w:vAlign w:val="center"/>
          </w:tcPr>
          <w:p w14:paraId="3DDA8D2A" w14:textId="77777777" w:rsidR="000C4EBF" w:rsidRPr="0040122E" w:rsidRDefault="000C4EBF" w:rsidP="0040122E">
            <w:pPr>
              <w:jc w:val="center"/>
              <w:rPr>
                <w:rFonts w:asciiTheme="majorBidi" w:hAnsiTheme="majorBidi" w:cstheme="majorBidi"/>
                <w:sz w:val="24"/>
                <w:szCs w:val="24"/>
              </w:rPr>
            </w:pPr>
            <w:r w:rsidRPr="0040122E">
              <w:rPr>
                <w:rFonts w:asciiTheme="majorBidi" w:hAnsiTheme="majorBidi" w:cstheme="majorBidi"/>
                <w:sz w:val="24"/>
                <w:szCs w:val="24"/>
              </w:rPr>
              <w:t>0.37</w:t>
            </w:r>
          </w:p>
        </w:tc>
      </w:tr>
    </w:tbl>
    <w:p w14:paraId="66B05131" w14:textId="77777777" w:rsidR="00A45FDD" w:rsidRPr="0040122E" w:rsidRDefault="0040122E" w:rsidP="0040122E">
      <w:pPr>
        <w:spacing w:before="100" w:beforeAutospacing="1" w:line="240" w:lineRule="auto"/>
        <w:jc w:val="both"/>
        <w:rPr>
          <w:rFonts w:asciiTheme="majorBidi" w:eastAsia="Times New Roman" w:hAnsiTheme="majorBidi" w:cstheme="majorBidi"/>
          <w:b/>
          <w:sz w:val="28"/>
          <w:szCs w:val="28"/>
        </w:rPr>
      </w:pPr>
      <w:r w:rsidRPr="0040122E">
        <w:rPr>
          <w:rFonts w:asciiTheme="majorBidi" w:eastAsia="Times New Roman" w:hAnsiTheme="majorBidi" w:cstheme="majorBidi"/>
          <w:b/>
          <w:sz w:val="28"/>
          <w:szCs w:val="28"/>
        </w:rPr>
        <w:t>CONCLUSION</w:t>
      </w:r>
    </w:p>
    <w:p w14:paraId="1527ACCE" w14:textId="77777777" w:rsidR="00E830D8" w:rsidRPr="0040122E" w:rsidRDefault="00E830D8" w:rsidP="0040122E">
      <w:pPr>
        <w:spacing w:before="100" w:beforeAutospacing="1" w:line="240" w:lineRule="auto"/>
        <w:jc w:val="both"/>
        <w:rPr>
          <w:rFonts w:asciiTheme="majorBidi" w:eastAsia="Times New Roman" w:hAnsiTheme="majorBidi" w:cstheme="majorBidi"/>
          <w:sz w:val="24"/>
          <w:szCs w:val="24"/>
        </w:rPr>
      </w:pPr>
      <w:r w:rsidRPr="0040122E">
        <w:rPr>
          <w:rFonts w:asciiTheme="majorBidi" w:eastAsia="Times New Roman" w:hAnsiTheme="majorBidi" w:cstheme="majorBidi"/>
          <w:sz w:val="24"/>
          <w:szCs w:val="24"/>
        </w:rPr>
        <w:t>The importance of nitrogen fertilization in maximizing the growth and yield of the wheat cultivars Galaxy and AZRC-</w:t>
      </w:r>
      <w:proofErr w:type="spellStart"/>
      <w:r w:rsidRPr="0040122E">
        <w:rPr>
          <w:rFonts w:asciiTheme="majorBidi" w:eastAsia="Times New Roman" w:hAnsiTheme="majorBidi" w:cstheme="majorBidi"/>
          <w:sz w:val="24"/>
          <w:szCs w:val="24"/>
        </w:rPr>
        <w:t>Dera</w:t>
      </w:r>
      <w:proofErr w:type="spellEnd"/>
      <w:r w:rsidRPr="0040122E">
        <w:rPr>
          <w:rFonts w:asciiTheme="majorBidi" w:eastAsia="Times New Roman" w:hAnsiTheme="majorBidi" w:cstheme="majorBidi"/>
          <w:sz w:val="24"/>
          <w:szCs w:val="24"/>
        </w:rPr>
        <w:t xml:space="preserve"> is highlighted by this study. Comparing cultivar AZRC-</w:t>
      </w:r>
      <w:proofErr w:type="spellStart"/>
      <w:r w:rsidRPr="0040122E">
        <w:rPr>
          <w:rFonts w:asciiTheme="majorBidi" w:eastAsia="Times New Roman" w:hAnsiTheme="majorBidi" w:cstheme="majorBidi"/>
          <w:sz w:val="24"/>
          <w:szCs w:val="24"/>
        </w:rPr>
        <w:t>Dera</w:t>
      </w:r>
      <w:proofErr w:type="spellEnd"/>
      <w:r w:rsidRPr="0040122E">
        <w:rPr>
          <w:rFonts w:asciiTheme="majorBidi" w:eastAsia="Times New Roman" w:hAnsiTheme="majorBidi" w:cstheme="majorBidi"/>
          <w:sz w:val="24"/>
          <w:szCs w:val="24"/>
        </w:rPr>
        <w:t xml:space="preserve"> to Galaxy, the latter consistently performed lesser across important growth characteristics including as germination rate, tiller production, fertile tillers, grain yield, and straw yield. The highest increases in plant growth and production were obtained from the administration of nitrogen, namely at a rate of 120 kg ha</w:t>
      </w:r>
      <w:r w:rsidRPr="0040122E">
        <w:rPr>
          <w:rFonts w:asciiTheme="majorBidi" w:eastAsia="Times New Roman" w:hAnsiTheme="majorBidi" w:cstheme="majorBidi"/>
          <w:sz w:val="24"/>
          <w:szCs w:val="24"/>
          <w:vertAlign w:val="superscript"/>
        </w:rPr>
        <w:t>-1</w:t>
      </w:r>
      <w:r w:rsidRPr="0040122E">
        <w:rPr>
          <w:rFonts w:asciiTheme="majorBidi" w:eastAsia="Times New Roman" w:hAnsiTheme="majorBidi" w:cstheme="majorBidi"/>
          <w:sz w:val="24"/>
          <w:szCs w:val="24"/>
        </w:rPr>
        <w:t xml:space="preserve">. These findings demonstrate how managing nitrogen levels and genetic potential </w:t>
      </w:r>
      <w:r w:rsidRPr="0040122E">
        <w:rPr>
          <w:rFonts w:asciiTheme="majorBidi" w:eastAsia="Times New Roman" w:hAnsiTheme="majorBidi" w:cstheme="majorBidi"/>
          <w:sz w:val="24"/>
          <w:szCs w:val="24"/>
        </w:rPr>
        <w:lastRenderedPageBreak/>
        <w:t>work together to increase wheat yields. The study offers insightful advice for maximizing wheat yield, highlighting the necessity of cultivar selection and targeted nitrogen administration for long-term agricultural success.</w:t>
      </w:r>
    </w:p>
    <w:p w14:paraId="2E1D12CF" w14:textId="77777777" w:rsidR="002B51B8" w:rsidRPr="0040122E" w:rsidRDefault="0040122E" w:rsidP="0040122E">
      <w:pPr>
        <w:spacing w:line="240" w:lineRule="auto"/>
        <w:jc w:val="both"/>
        <w:rPr>
          <w:rFonts w:asciiTheme="majorBidi" w:hAnsiTheme="majorBidi" w:cstheme="majorBidi"/>
          <w:b/>
          <w:sz w:val="28"/>
          <w:szCs w:val="28"/>
        </w:rPr>
      </w:pPr>
      <w:r w:rsidRPr="0040122E">
        <w:rPr>
          <w:rFonts w:asciiTheme="majorBidi" w:hAnsiTheme="majorBidi" w:cstheme="majorBidi"/>
          <w:b/>
          <w:sz w:val="28"/>
          <w:szCs w:val="28"/>
        </w:rPr>
        <w:t>REFERENCES</w:t>
      </w:r>
      <w:r>
        <w:rPr>
          <w:rFonts w:asciiTheme="majorBidi" w:hAnsiTheme="majorBidi" w:cstheme="majorBidi"/>
          <w:b/>
          <w:sz w:val="28"/>
          <w:szCs w:val="28"/>
        </w:rPr>
        <w:t>:</w:t>
      </w:r>
    </w:p>
    <w:p w14:paraId="2C675CFA"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Jordan-</w:t>
      </w:r>
      <w:proofErr w:type="spellStart"/>
      <w:r w:rsidRPr="0040122E">
        <w:rPr>
          <w:rFonts w:asciiTheme="majorBidi" w:hAnsiTheme="majorBidi" w:cstheme="majorBidi"/>
          <w:sz w:val="24"/>
          <w:szCs w:val="24"/>
        </w:rPr>
        <w:t>Meille</w:t>
      </w:r>
      <w:proofErr w:type="spellEnd"/>
      <w:r w:rsidRPr="0040122E">
        <w:rPr>
          <w:rFonts w:asciiTheme="majorBidi" w:hAnsiTheme="majorBidi" w:cstheme="majorBidi"/>
          <w:sz w:val="24"/>
          <w:szCs w:val="24"/>
        </w:rPr>
        <w:t xml:space="preserve"> L, Holland JE, McGrath SP, </w:t>
      </w:r>
      <w:proofErr w:type="spellStart"/>
      <w:r w:rsidRPr="0040122E">
        <w:rPr>
          <w:rFonts w:asciiTheme="majorBidi" w:hAnsiTheme="majorBidi" w:cstheme="majorBidi"/>
          <w:sz w:val="24"/>
          <w:szCs w:val="24"/>
        </w:rPr>
        <w:t>Glendining</w:t>
      </w:r>
      <w:proofErr w:type="spellEnd"/>
      <w:r w:rsidRPr="0040122E">
        <w:rPr>
          <w:rFonts w:asciiTheme="majorBidi" w:hAnsiTheme="majorBidi" w:cstheme="majorBidi"/>
          <w:sz w:val="24"/>
          <w:szCs w:val="24"/>
        </w:rPr>
        <w:t xml:space="preserve"> MJ, Thomas CL, </w:t>
      </w:r>
      <w:proofErr w:type="spellStart"/>
      <w:r w:rsidRPr="0040122E">
        <w:rPr>
          <w:rFonts w:asciiTheme="majorBidi" w:hAnsiTheme="majorBidi" w:cstheme="majorBidi"/>
          <w:sz w:val="24"/>
          <w:szCs w:val="24"/>
        </w:rPr>
        <w:t>Haefele</w:t>
      </w:r>
      <w:proofErr w:type="spellEnd"/>
      <w:r w:rsidRPr="0040122E">
        <w:rPr>
          <w:rFonts w:asciiTheme="majorBidi" w:hAnsiTheme="majorBidi" w:cstheme="majorBidi"/>
          <w:sz w:val="24"/>
          <w:szCs w:val="24"/>
        </w:rPr>
        <w:t xml:space="preserve"> SM. The grain mineral composition of barley, oat and wheat on soils with pH and soil phosphorus gradients. </w:t>
      </w:r>
      <w:proofErr w:type="spellStart"/>
      <w:r w:rsidRPr="0040122E">
        <w:rPr>
          <w:rFonts w:asciiTheme="majorBidi" w:hAnsiTheme="majorBidi" w:cstheme="majorBidi"/>
          <w:sz w:val="24"/>
          <w:szCs w:val="24"/>
        </w:rPr>
        <w:t>Europ</w:t>
      </w:r>
      <w:proofErr w:type="spellEnd"/>
      <w:r w:rsidRPr="0040122E">
        <w:rPr>
          <w:rFonts w:asciiTheme="majorBidi" w:hAnsiTheme="majorBidi" w:cstheme="majorBidi"/>
          <w:sz w:val="24"/>
          <w:szCs w:val="24"/>
        </w:rPr>
        <w:t xml:space="preserve"> J </w:t>
      </w:r>
      <w:proofErr w:type="spellStart"/>
      <w:r w:rsidRPr="0040122E">
        <w:rPr>
          <w:rFonts w:asciiTheme="majorBidi" w:hAnsiTheme="majorBidi" w:cstheme="majorBidi"/>
          <w:sz w:val="24"/>
          <w:szCs w:val="24"/>
        </w:rPr>
        <w:t>Agron</w:t>
      </w:r>
      <w:proofErr w:type="spellEnd"/>
      <w:r w:rsidRPr="0040122E">
        <w:rPr>
          <w:rFonts w:asciiTheme="majorBidi" w:hAnsiTheme="majorBidi" w:cstheme="majorBidi"/>
          <w:sz w:val="24"/>
          <w:szCs w:val="24"/>
        </w:rPr>
        <w:t>. 2021;126:126281.</w:t>
      </w:r>
    </w:p>
    <w:p w14:paraId="1466AB21"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 xml:space="preserve">Rahman KU, Hussain A, Ejaz N, Shang S, </w:t>
      </w:r>
      <w:proofErr w:type="spellStart"/>
      <w:r w:rsidRPr="0040122E">
        <w:rPr>
          <w:rFonts w:asciiTheme="majorBidi" w:hAnsiTheme="majorBidi" w:cstheme="majorBidi"/>
          <w:sz w:val="24"/>
          <w:szCs w:val="24"/>
        </w:rPr>
        <w:t>Balkhair</w:t>
      </w:r>
      <w:proofErr w:type="spellEnd"/>
      <w:r w:rsidRPr="0040122E">
        <w:rPr>
          <w:rFonts w:asciiTheme="majorBidi" w:hAnsiTheme="majorBidi" w:cstheme="majorBidi"/>
          <w:sz w:val="24"/>
          <w:szCs w:val="24"/>
        </w:rPr>
        <w:t xml:space="preserve"> KS, Khan KU, Khan MA, Rehman NU. Analysis of production and economic losses of cash crops under variable drought: A case study from Punjab province of Pakistan. Int J Disaster Risk </w:t>
      </w:r>
      <w:proofErr w:type="spellStart"/>
      <w:r w:rsidRPr="0040122E">
        <w:rPr>
          <w:rFonts w:asciiTheme="majorBidi" w:hAnsiTheme="majorBidi" w:cstheme="majorBidi"/>
          <w:sz w:val="24"/>
          <w:szCs w:val="24"/>
        </w:rPr>
        <w:t>Reduc</w:t>
      </w:r>
      <w:proofErr w:type="spellEnd"/>
      <w:r w:rsidRPr="0040122E">
        <w:rPr>
          <w:rFonts w:asciiTheme="majorBidi" w:hAnsiTheme="majorBidi" w:cstheme="majorBidi"/>
          <w:sz w:val="24"/>
          <w:szCs w:val="24"/>
        </w:rPr>
        <w:t>. 2023;85:103507.</w:t>
      </w:r>
    </w:p>
    <w:p w14:paraId="41BFCF54"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proofErr w:type="spellStart"/>
      <w:r w:rsidRPr="0040122E">
        <w:rPr>
          <w:rFonts w:asciiTheme="majorBidi" w:hAnsiTheme="majorBidi" w:cstheme="majorBidi"/>
          <w:sz w:val="24"/>
          <w:szCs w:val="24"/>
        </w:rPr>
        <w:t>Farzadfar</w:t>
      </w:r>
      <w:proofErr w:type="spellEnd"/>
      <w:r w:rsidRPr="0040122E">
        <w:rPr>
          <w:rFonts w:asciiTheme="majorBidi" w:hAnsiTheme="majorBidi" w:cstheme="majorBidi"/>
          <w:sz w:val="24"/>
          <w:szCs w:val="24"/>
        </w:rPr>
        <w:t xml:space="preserve"> S, Knight JD, Congreves KA. Soil organic nitrogen: an overlooked but potentially significant contribution to crop nutrition. Plant Soil. 2021;462:7-23.</w:t>
      </w:r>
    </w:p>
    <w:p w14:paraId="7681A826"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Zhang G, Liu S, Dong Y, Liao Y, Han J. A nitrogen fertilizer strategy for simultaneously increasing wheat grain yield and protein content: Mixed application of controlled-release urea and normal urea. Field Crop Res. 2022;277:108405.</w:t>
      </w:r>
    </w:p>
    <w:p w14:paraId="671CA374"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 xml:space="preserve">Ben </w:t>
      </w:r>
      <w:proofErr w:type="spellStart"/>
      <w:r w:rsidRPr="0040122E">
        <w:rPr>
          <w:rFonts w:asciiTheme="majorBidi" w:hAnsiTheme="majorBidi" w:cstheme="majorBidi"/>
          <w:sz w:val="24"/>
          <w:szCs w:val="24"/>
        </w:rPr>
        <w:t>Mariem</w:t>
      </w:r>
      <w:proofErr w:type="spellEnd"/>
      <w:r w:rsidRPr="0040122E">
        <w:rPr>
          <w:rFonts w:asciiTheme="majorBidi" w:hAnsiTheme="majorBidi" w:cstheme="majorBidi"/>
          <w:sz w:val="24"/>
          <w:szCs w:val="24"/>
        </w:rPr>
        <w:t xml:space="preserve"> S, González-Torralba J, Collar C, </w:t>
      </w:r>
      <w:proofErr w:type="spellStart"/>
      <w:r w:rsidRPr="0040122E">
        <w:rPr>
          <w:rFonts w:asciiTheme="majorBidi" w:hAnsiTheme="majorBidi" w:cstheme="majorBidi"/>
          <w:sz w:val="24"/>
          <w:szCs w:val="24"/>
        </w:rPr>
        <w:t>Aranjuelo</w:t>
      </w:r>
      <w:proofErr w:type="spellEnd"/>
      <w:r w:rsidRPr="0040122E">
        <w:rPr>
          <w:rFonts w:asciiTheme="majorBidi" w:hAnsiTheme="majorBidi" w:cstheme="majorBidi"/>
          <w:sz w:val="24"/>
          <w:szCs w:val="24"/>
        </w:rPr>
        <w:t xml:space="preserve"> I, Morales F. Durum wheat grain yield and quality under low and high nitrogen conditions: insights into natural variation in low-and high-yielding genotypes. Plants. 2020;9(12):1636.</w:t>
      </w:r>
    </w:p>
    <w:p w14:paraId="50B7777A"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 xml:space="preserve">Lee CF. Financial econometrics, mathematics, statistics, and financial technology: an overall view. Rev Quant </w:t>
      </w:r>
      <w:proofErr w:type="spellStart"/>
      <w:r w:rsidRPr="0040122E">
        <w:rPr>
          <w:rFonts w:asciiTheme="majorBidi" w:hAnsiTheme="majorBidi" w:cstheme="majorBidi"/>
          <w:sz w:val="24"/>
          <w:szCs w:val="24"/>
        </w:rPr>
        <w:t>Finan</w:t>
      </w:r>
      <w:proofErr w:type="spellEnd"/>
      <w:r w:rsidRPr="0040122E">
        <w:rPr>
          <w:rFonts w:asciiTheme="majorBidi" w:hAnsiTheme="majorBidi" w:cstheme="majorBidi"/>
          <w:sz w:val="24"/>
          <w:szCs w:val="24"/>
        </w:rPr>
        <w:t xml:space="preserve"> </w:t>
      </w:r>
      <w:proofErr w:type="spellStart"/>
      <w:r w:rsidRPr="0040122E">
        <w:rPr>
          <w:rFonts w:asciiTheme="majorBidi" w:hAnsiTheme="majorBidi" w:cstheme="majorBidi"/>
          <w:sz w:val="24"/>
          <w:szCs w:val="24"/>
        </w:rPr>
        <w:t>Accoun</w:t>
      </w:r>
      <w:proofErr w:type="spellEnd"/>
      <w:r w:rsidRPr="0040122E">
        <w:rPr>
          <w:rFonts w:asciiTheme="majorBidi" w:hAnsiTheme="majorBidi" w:cstheme="majorBidi"/>
          <w:sz w:val="24"/>
          <w:szCs w:val="24"/>
        </w:rPr>
        <w:t>. 2020;54(4):1529-78.</w:t>
      </w:r>
    </w:p>
    <w:p w14:paraId="296F5119"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 xml:space="preserve">Ju C, Zhu Y, Liu T, Sun C. The effect of nitrogen reduction at different stages on grain yield and nitrogen use efficiency for nitrogen efficient rice varieties. </w:t>
      </w:r>
      <w:proofErr w:type="spellStart"/>
      <w:r w:rsidRPr="0040122E">
        <w:rPr>
          <w:rFonts w:asciiTheme="majorBidi" w:hAnsiTheme="majorBidi" w:cstheme="majorBidi"/>
          <w:sz w:val="24"/>
          <w:szCs w:val="24"/>
        </w:rPr>
        <w:t>Agron</w:t>
      </w:r>
      <w:proofErr w:type="spellEnd"/>
      <w:r w:rsidRPr="0040122E">
        <w:rPr>
          <w:rFonts w:asciiTheme="majorBidi" w:hAnsiTheme="majorBidi" w:cstheme="majorBidi"/>
          <w:sz w:val="24"/>
          <w:szCs w:val="24"/>
        </w:rPr>
        <w:t>. 2021;11(3):462.</w:t>
      </w:r>
    </w:p>
    <w:p w14:paraId="2E86F464"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Yang D, Peng S, Zheng C, Xiang H, Huang J, Cui K, Wang F. Effects of nitrogen fertilization for bud initiation and tiller growth on yield and quality of rice ratoon crop in central China. Field Crop Res. 2021;272:108286.</w:t>
      </w:r>
    </w:p>
    <w:p w14:paraId="0A5A5EAC"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Zhang L, He X, Liang Z, Zhang W, Zou C, Chen X. Tiller development affected by nitrogen fertilization in a high‐yielding wheat production system. Crop Sci. 2020;60(2):1034-47.</w:t>
      </w:r>
    </w:p>
    <w:p w14:paraId="47EEA4C1"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 xml:space="preserve">Si Z, Zain M, Mehmood F, Wang G, Gao Y, </w:t>
      </w:r>
      <w:proofErr w:type="spellStart"/>
      <w:r w:rsidRPr="0040122E">
        <w:rPr>
          <w:rFonts w:asciiTheme="majorBidi" w:hAnsiTheme="majorBidi" w:cstheme="majorBidi"/>
          <w:sz w:val="24"/>
          <w:szCs w:val="24"/>
        </w:rPr>
        <w:t>Duan</w:t>
      </w:r>
      <w:proofErr w:type="spellEnd"/>
      <w:r w:rsidRPr="0040122E">
        <w:rPr>
          <w:rFonts w:asciiTheme="majorBidi" w:hAnsiTheme="majorBidi" w:cstheme="majorBidi"/>
          <w:sz w:val="24"/>
          <w:szCs w:val="24"/>
        </w:rPr>
        <w:t xml:space="preserve"> A. Effects of nitrogen application rate and irrigation regime on growth, yield, and water-nitrogen use efficiency of drip-irrigated winter wheat in the North China Plain. Agric Wat </w:t>
      </w:r>
      <w:proofErr w:type="spellStart"/>
      <w:r w:rsidRPr="0040122E">
        <w:rPr>
          <w:rFonts w:asciiTheme="majorBidi" w:hAnsiTheme="majorBidi" w:cstheme="majorBidi"/>
          <w:sz w:val="24"/>
          <w:szCs w:val="24"/>
        </w:rPr>
        <w:t>Manag</w:t>
      </w:r>
      <w:proofErr w:type="spellEnd"/>
      <w:r w:rsidRPr="0040122E">
        <w:rPr>
          <w:rFonts w:asciiTheme="majorBidi" w:hAnsiTheme="majorBidi" w:cstheme="majorBidi"/>
          <w:sz w:val="24"/>
          <w:szCs w:val="24"/>
        </w:rPr>
        <w:t>. 2020;231:106002.</w:t>
      </w:r>
    </w:p>
    <w:p w14:paraId="293369C4" w14:textId="77777777" w:rsidR="00CD646D" w:rsidRPr="0040122E" w:rsidRDefault="00CD646D" w:rsidP="0040122E">
      <w:pPr>
        <w:pStyle w:val="ListParagraph"/>
        <w:numPr>
          <w:ilvl w:val="0"/>
          <w:numId w:val="1"/>
        </w:numPr>
        <w:spacing w:line="240" w:lineRule="auto"/>
        <w:ind w:left="360"/>
        <w:jc w:val="both"/>
        <w:rPr>
          <w:rFonts w:asciiTheme="majorBidi" w:hAnsiTheme="majorBidi" w:cstheme="majorBidi"/>
          <w:sz w:val="24"/>
          <w:szCs w:val="24"/>
        </w:rPr>
      </w:pPr>
      <w:r w:rsidRPr="0040122E">
        <w:rPr>
          <w:rFonts w:asciiTheme="majorBidi" w:hAnsiTheme="majorBidi" w:cstheme="majorBidi"/>
          <w:sz w:val="24"/>
          <w:szCs w:val="24"/>
        </w:rPr>
        <w:t>Ghafoor I, Habib-</w:t>
      </w:r>
      <w:proofErr w:type="spellStart"/>
      <w:r w:rsidRPr="0040122E">
        <w:rPr>
          <w:rFonts w:asciiTheme="majorBidi" w:hAnsiTheme="majorBidi" w:cstheme="majorBidi"/>
          <w:sz w:val="24"/>
          <w:szCs w:val="24"/>
        </w:rPr>
        <w:t>ur</w:t>
      </w:r>
      <w:proofErr w:type="spellEnd"/>
      <w:r w:rsidRPr="0040122E">
        <w:rPr>
          <w:rFonts w:asciiTheme="majorBidi" w:hAnsiTheme="majorBidi" w:cstheme="majorBidi"/>
          <w:sz w:val="24"/>
          <w:szCs w:val="24"/>
        </w:rPr>
        <w:t xml:space="preserve">-Rahman M, Ali M, Afzal M, Ahmed W, </w:t>
      </w:r>
      <w:proofErr w:type="spellStart"/>
      <w:r w:rsidRPr="0040122E">
        <w:rPr>
          <w:rFonts w:asciiTheme="majorBidi" w:hAnsiTheme="majorBidi" w:cstheme="majorBidi"/>
          <w:sz w:val="24"/>
          <w:szCs w:val="24"/>
        </w:rPr>
        <w:t>Gaiser</w:t>
      </w:r>
      <w:proofErr w:type="spellEnd"/>
      <w:r w:rsidRPr="0040122E">
        <w:rPr>
          <w:rFonts w:asciiTheme="majorBidi" w:hAnsiTheme="majorBidi" w:cstheme="majorBidi"/>
          <w:sz w:val="24"/>
          <w:szCs w:val="24"/>
        </w:rPr>
        <w:t xml:space="preserve"> T, Ghaffar A. Slow-release nitrogen fertilizers enhance growth, yield, NUE in wheat crop and reduce nitrogen losses under an arid environment. Environ Sci Poll Res. 2021;28(32):43528-43.</w:t>
      </w:r>
    </w:p>
    <w:p w14:paraId="346D3C07" w14:textId="77777777" w:rsidR="002B51B8" w:rsidRPr="0040122E" w:rsidRDefault="002B51B8" w:rsidP="0040122E">
      <w:pPr>
        <w:spacing w:before="100" w:beforeAutospacing="1" w:line="240" w:lineRule="auto"/>
        <w:jc w:val="both"/>
        <w:rPr>
          <w:rFonts w:asciiTheme="majorBidi" w:eastAsia="Times New Roman" w:hAnsiTheme="majorBidi" w:cstheme="majorBidi"/>
          <w:sz w:val="24"/>
          <w:szCs w:val="24"/>
        </w:rPr>
      </w:pPr>
    </w:p>
    <w:sectPr w:rsidR="002B51B8" w:rsidRPr="0040122E" w:rsidSect="003B6E00">
      <w:headerReference w:type="default" r:id="rId10"/>
      <w:footerReference w:type="default" r:id="rId11"/>
      <w:footerReference w:type="first" r:id="rId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76E29" w14:textId="77777777" w:rsidR="00022BA5" w:rsidRDefault="00022BA5" w:rsidP="0040122E">
      <w:pPr>
        <w:spacing w:after="0" w:line="240" w:lineRule="auto"/>
      </w:pPr>
      <w:r>
        <w:separator/>
      </w:r>
    </w:p>
  </w:endnote>
  <w:endnote w:type="continuationSeparator" w:id="0">
    <w:p w14:paraId="60C95434" w14:textId="77777777" w:rsidR="00022BA5" w:rsidRDefault="00022BA5" w:rsidP="0040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2806316"/>
      <w:docPartObj>
        <w:docPartGallery w:val="Page Numbers (Bottom of Page)"/>
        <w:docPartUnique/>
      </w:docPartObj>
    </w:sdtPr>
    <w:sdtEndPr>
      <w:rPr>
        <w:noProof/>
      </w:rPr>
    </w:sdtEndPr>
    <w:sdtContent>
      <w:p w14:paraId="190A725A" w14:textId="77777777" w:rsidR="0040122E" w:rsidRDefault="0040122E">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p w14:paraId="40D19860" w14:textId="77777777" w:rsidR="0040122E" w:rsidRDefault="00401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7906124"/>
      <w:docPartObj>
        <w:docPartGallery w:val="Page Numbers (Bottom of Page)"/>
        <w:docPartUnique/>
      </w:docPartObj>
    </w:sdtPr>
    <w:sdtEndPr>
      <w:rPr>
        <w:noProof/>
      </w:rPr>
    </w:sdtEndPr>
    <w:sdtContent>
      <w:p w14:paraId="0573280C" w14:textId="77777777" w:rsidR="0040122E" w:rsidRDefault="0040122E">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DD41998" w14:textId="77777777" w:rsidR="0040122E" w:rsidRDefault="00401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783AE" w14:textId="77777777" w:rsidR="00022BA5" w:rsidRDefault="00022BA5" w:rsidP="0040122E">
      <w:pPr>
        <w:spacing w:after="0" w:line="240" w:lineRule="auto"/>
      </w:pPr>
      <w:r>
        <w:separator/>
      </w:r>
    </w:p>
  </w:footnote>
  <w:footnote w:type="continuationSeparator" w:id="0">
    <w:p w14:paraId="72FD9308" w14:textId="77777777" w:rsidR="00022BA5" w:rsidRDefault="00022BA5" w:rsidP="00401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23FD" w14:textId="525C40C4" w:rsidR="0040122E" w:rsidRPr="00A66922" w:rsidRDefault="0040122E" w:rsidP="0040122E">
    <w:pPr>
      <w:pStyle w:val="Header"/>
      <w:rPr>
        <w:rFonts w:asciiTheme="majorBidi" w:hAnsiTheme="majorBidi" w:cstheme="majorBidi"/>
        <w:b/>
        <w:bCs/>
        <w:i/>
        <w:iCs/>
        <w:sz w:val="24"/>
        <w:szCs w:val="24"/>
      </w:rPr>
    </w:pPr>
    <w:r w:rsidRPr="00ED4AC2">
      <w:rPr>
        <w:rFonts w:asciiTheme="majorBidi" w:hAnsiTheme="majorBidi" w:cstheme="majorBidi"/>
        <w:b/>
        <w:bCs/>
        <w:i/>
        <w:iCs/>
        <w:sz w:val="24"/>
        <w:szCs w:val="24"/>
      </w:rPr>
      <w:t>Indus Journal of Agriculture and Biology</w:t>
    </w:r>
    <w:r>
      <w:rPr>
        <w:rFonts w:asciiTheme="majorBidi" w:hAnsiTheme="majorBidi" w:cstheme="majorBidi"/>
        <w:b/>
        <w:bCs/>
        <w:i/>
        <w:iCs/>
        <w:sz w:val="24"/>
        <w:szCs w:val="24"/>
      </w:rPr>
      <w:t xml:space="preserve"> </w:t>
    </w:r>
    <w:r w:rsidRPr="00ED4AC2">
      <w:rPr>
        <w:rFonts w:asciiTheme="majorBidi" w:hAnsiTheme="majorBidi" w:cstheme="majorBidi"/>
        <w:b/>
        <w:bCs/>
        <w:i/>
        <w:iCs/>
        <w:sz w:val="24"/>
        <w:szCs w:val="24"/>
      </w:rPr>
      <w:t>(IJAB)</w:t>
    </w:r>
    <w:r>
      <w:rPr>
        <w:rFonts w:asciiTheme="majorBidi" w:hAnsiTheme="majorBidi" w:cstheme="majorBidi"/>
        <w:b/>
        <w:bCs/>
        <w:i/>
        <w:iCs/>
        <w:sz w:val="24"/>
        <w:szCs w:val="24"/>
      </w:rPr>
      <w:t xml:space="preserve"> </w:t>
    </w:r>
    <w:r w:rsidRPr="00A66922">
      <w:rPr>
        <w:rFonts w:asciiTheme="majorBidi" w:hAnsiTheme="majorBidi" w:cstheme="majorBidi"/>
        <w:b/>
        <w:bCs/>
        <w:i/>
        <w:iCs/>
        <w:sz w:val="24"/>
        <w:szCs w:val="24"/>
      </w:rPr>
      <w:t xml:space="preserve">Volume </w:t>
    </w:r>
    <w:r w:rsidR="00A435D2">
      <w:rPr>
        <w:rFonts w:asciiTheme="majorBidi" w:hAnsiTheme="majorBidi" w:cstheme="majorBidi"/>
        <w:b/>
        <w:bCs/>
        <w:i/>
        <w:iCs/>
        <w:sz w:val="24"/>
        <w:szCs w:val="24"/>
      </w:rPr>
      <w:t>4</w:t>
    </w:r>
    <w:r w:rsidRPr="00A66922">
      <w:rPr>
        <w:rFonts w:asciiTheme="majorBidi" w:hAnsiTheme="majorBidi" w:cstheme="majorBidi"/>
        <w:b/>
        <w:bCs/>
        <w:i/>
        <w:iCs/>
        <w:sz w:val="24"/>
        <w:szCs w:val="24"/>
      </w:rPr>
      <w:t xml:space="preserve">, Issue </w:t>
    </w:r>
    <w:r w:rsidR="00A435D2">
      <w:rPr>
        <w:rFonts w:asciiTheme="majorBidi" w:hAnsiTheme="majorBidi" w:cstheme="majorBidi"/>
        <w:b/>
        <w:bCs/>
        <w:i/>
        <w:iCs/>
        <w:sz w:val="24"/>
        <w:szCs w:val="24"/>
      </w:rPr>
      <w:t>1</w:t>
    </w:r>
    <w:r w:rsidRPr="00A66922">
      <w:rPr>
        <w:rFonts w:asciiTheme="majorBidi" w:hAnsiTheme="majorBidi" w:cstheme="majorBidi"/>
        <w:b/>
        <w:bCs/>
        <w:i/>
        <w:iCs/>
        <w:sz w:val="24"/>
        <w:szCs w:val="24"/>
      </w:rPr>
      <w:t>, 202</w:t>
    </w:r>
    <w:r w:rsidR="00A435D2">
      <w:rPr>
        <w:rFonts w:asciiTheme="majorBidi" w:hAnsiTheme="majorBidi" w:cstheme="majorBidi"/>
        <w:b/>
        <w:bCs/>
        <w:i/>
        <w:iCs/>
        <w:sz w:val="24"/>
        <w:szCs w:val="24"/>
      </w:rPr>
      <w:t>5</w:t>
    </w:r>
  </w:p>
  <w:p w14:paraId="4C4065B2" w14:textId="77777777" w:rsidR="0040122E" w:rsidRDefault="00401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4321A2"/>
    <w:multiLevelType w:val="hybridMultilevel"/>
    <w:tmpl w:val="E662D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93"/>
    <w:rsid w:val="00022BA5"/>
    <w:rsid w:val="00026D76"/>
    <w:rsid w:val="00042F56"/>
    <w:rsid w:val="000C4EBF"/>
    <w:rsid w:val="001118EC"/>
    <w:rsid w:val="00187E58"/>
    <w:rsid w:val="001A1A7E"/>
    <w:rsid w:val="001A2B04"/>
    <w:rsid w:val="001B08CF"/>
    <w:rsid w:val="002548C2"/>
    <w:rsid w:val="002701B8"/>
    <w:rsid w:val="00271530"/>
    <w:rsid w:val="002B51B8"/>
    <w:rsid w:val="003B6E00"/>
    <w:rsid w:val="0040122E"/>
    <w:rsid w:val="004A2045"/>
    <w:rsid w:val="004F1F8A"/>
    <w:rsid w:val="005B094E"/>
    <w:rsid w:val="00771299"/>
    <w:rsid w:val="007C7593"/>
    <w:rsid w:val="008B5737"/>
    <w:rsid w:val="008C4B56"/>
    <w:rsid w:val="008F188E"/>
    <w:rsid w:val="00910514"/>
    <w:rsid w:val="009859DE"/>
    <w:rsid w:val="009E2F93"/>
    <w:rsid w:val="00A435D2"/>
    <w:rsid w:val="00A45FDD"/>
    <w:rsid w:val="00B87A51"/>
    <w:rsid w:val="00BB5B44"/>
    <w:rsid w:val="00C44B45"/>
    <w:rsid w:val="00CD646D"/>
    <w:rsid w:val="00D052D6"/>
    <w:rsid w:val="00D308C7"/>
    <w:rsid w:val="00D91A93"/>
    <w:rsid w:val="00E82ED8"/>
    <w:rsid w:val="00E830D8"/>
    <w:rsid w:val="00EE55B9"/>
    <w:rsid w:val="00F240DD"/>
    <w:rsid w:val="00F240FF"/>
    <w:rsid w:val="00FA4244"/>
    <w:rsid w:val="00FE60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D30EF"/>
  <w15:docId w15:val="{92BF72C8-8D2F-41B5-B03C-8FE4DBB2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A45F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45FD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5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45F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45FDD"/>
    <w:rPr>
      <w:rFonts w:ascii="Times New Roman" w:eastAsia="Times New Roman" w:hAnsi="Times New Roman" w:cs="Times New Roman"/>
      <w:b/>
      <w:bCs/>
      <w:sz w:val="24"/>
      <w:szCs w:val="24"/>
    </w:rPr>
  </w:style>
  <w:style w:type="table" w:styleId="TableGrid">
    <w:name w:val="Table Grid"/>
    <w:basedOn w:val="TableNormal"/>
    <w:uiPriority w:val="39"/>
    <w:rsid w:val="00910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646D"/>
    <w:pPr>
      <w:ind w:left="720"/>
      <w:contextualSpacing/>
    </w:pPr>
  </w:style>
  <w:style w:type="paragraph" w:styleId="Header">
    <w:name w:val="header"/>
    <w:basedOn w:val="Normal"/>
    <w:link w:val="HeaderChar"/>
    <w:uiPriority w:val="99"/>
    <w:unhideWhenUsed/>
    <w:rsid w:val="00401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22E"/>
  </w:style>
  <w:style w:type="paragraph" w:styleId="Footer">
    <w:name w:val="footer"/>
    <w:basedOn w:val="Normal"/>
    <w:link w:val="FooterChar"/>
    <w:uiPriority w:val="99"/>
    <w:unhideWhenUsed/>
    <w:rsid w:val="00401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22E"/>
  </w:style>
  <w:style w:type="paragraph" w:styleId="BodyText">
    <w:name w:val="Body Text"/>
    <w:basedOn w:val="Normal"/>
    <w:link w:val="BodyTextChar"/>
    <w:uiPriority w:val="1"/>
    <w:qFormat/>
    <w:rsid w:val="0027153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7153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40DD"/>
    <w:rPr>
      <w:color w:val="0563C1" w:themeColor="hyperlink"/>
      <w:u w:val="single"/>
    </w:rPr>
  </w:style>
  <w:style w:type="character" w:styleId="UnresolvedMention">
    <w:name w:val="Unresolved Mention"/>
    <w:basedOn w:val="DefaultParagraphFont"/>
    <w:uiPriority w:val="99"/>
    <w:semiHidden/>
    <w:unhideWhenUsed/>
    <w:rsid w:val="00F24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849149">
      <w:bodyDiv w:val="1"/>
      <w:marLeft w:val="0"/>
      <w:marRight w:val="0"/>
      <w:marTop w:val="0"/>
      <w:marBottom w:val="0"/>
      <w:divBdr>
        <w:top w:val="none" w:sz="0" w:space="0" w:color="auto"/>
        <w:left w:val="none" w:sz="0" w:space="0" w:color="auto"/>
        <w:bottom w:val="none" w:sz="0" w:space="0" w:color="auto"/>
        <w:right w:val="none" w:sz="0" w:space="0" w:color="auto"/>
      </w:divBdr>
    </w:div>
    <w:div w:id="546601376">
      <w:bodyDiv w:val="1"/>
      <w:marLeft w:val="0"/>
      <w:marRight w:val="0"/>
      <w:marTop w:val="0"/>
      <w:marBottom w:val="0"/>
      <w:divBdr>
        <w:top w:val="none" w:sz="0" w:space="0" w:color="auto"/>
        <w:left w:val="none" w:sz="0" w:space="0" w:color="auto"/>
        <w:bottom w:val="none" w:sz="0" w:space="0" w:color="auto"/>
        <w:right w:val="none" w:sz="0" w:space="0" w:color="auto"/>
      </w:divBdr>
    </w:div>
    <w:div w:id="697506372">
      <w:bodyDiv w:val="1"/>
      <w:marLeft w:val="0"/>
      <w:marRight w:val="0"/>
      <w:marTop w:val="0"/>
      <w:marBottom w:val="0"/>
      <w:divBdr>
        <w:top w:val="none" w:sz="0" w:space="0" w:color="auto"/>
        <w:left w:val="none" w:sz="0" w:space="0" w:color="auto"/>
        <w:bottom w:val="none" w:sz="0" w:space="0" w:color="auto"/>
        <w:right w:val="none" w:sz="0" w:space="0" w:color="auto"/>
      </w:divBdr>
    </w:div>
    <w:div w:id="1302076054">
      <w:bodyDiv w:val="1"/>
      <w:marLeft w:val="0"/>
      <w:marRight w:val="0"/>
      <w:marTop w:val="0"/>
      <w:marBottom w:val="0"/>
      <w:divBdr>
        <w:top w:val="none" w:sz="0" w:space="0" w:color="auto"/>
        <w:left w:val="none" w:sz="0" w:space="0" w:color="auto"/>
        <w:bottom w:val="none" w:sz="0" w:space="0" w:color="auto"/>
        <w:right w:val="none" w:sz="0" w:space="0" w:color="auto"/>
      </w:divBdr>
    </w:div>
    <w:div w:id="182369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ran016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account</dc:creator>
  <cp:lastModifiedBy>Nouman Abuzar</cp:lastModifiedBy>
  <cp:revision>17</cp:revision>
  <dcterms:created xsi:type="dcterms:W3CDTF">2024-08-10T13:19:00Z</dcterms:created>
  <dcterms:modified xsi:type="dcterms:W3CDTF">2025-05-22T15:44:00Z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8f84491fef0bd7191616e222e91f4a69bf020dab518d79c0a0eef39587aa3e05</vt:lpwstr>
  </property>
</Properties>
</file>